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D81FD">
      <w:pPr>
        <w:pStyle w:val="3"/>
        <w:spacing w:before="0" w:after="0" w:line="240" w:lineRule="auto"/>
        <w:ind w:firstLine="482"/>
        <w:jc w:val="center"/>
        <w:rPr>
          <w:rFonts w:hint="eastAsia" w:ascii="仿宋" w:hAnsi="仿宋" w:eastAsia="仿宋" w:cs="仿宋"/>
          <w:sz w:val="32"/>
          <w:szCs w:val="32"/>
        </w:rPr>
      </w:pPr>
      <w:r>
        <w:rPr>
          <w:rFonts w:hint="eastAsia" w:ascii="仿宋" w:hAnsi="仿宋" w:eastAsia="仿宋" w:cs="仿宋"/>
          <w:sz w:val="32"/>
          <w:szCs w:val="32"/>
          <w:lang w:val="en-US" w:eastAsia="zh-CN"/>
        </w:rPr>
        <w:t>内蒙古</w:t>
      </w:r>
      <w:r>
        <w:rPr>
          <w:rFonts w:hint="eastAsia" w:ascii="仿宋" w:hAnsi="仿宋" w:eastAsia="仿宋" w:cs="仿宋"/>
          <w:sz w:val="32"/>
          <w:szCs w:val="32"/>
        </w:rPr>
        <w:t>神东天隆集团</w:t>
      </w:r>
      <w:r>
        <w:rPr>
          <w:rFonts w:hint="eastAsia" w:ascii="仿宋" w:hAnsi="仿宋" w:eastAsia="仿宋" w:cs="仿宋"/>
          <w:sz w:val="32"/>
          <w:szCs w:val="32"/>
          <w:lang w:val="en-US" w:eastAsia="zh-CN"/>
        </w:rPr>
        <w:t>2024年第十五次招投标补充</w:t>
      </w:r>
      <w:r>
        <w:rPr>
          <w:rFonts w:hint="eastAsia" w:ascii="仿宋" w:hAnsi="仿宋" w:eastAsia="仿宋" w:cs="仿宋"/>
          <w:sz w:val="32"/>
          <w:szCs w:val="32"/>
        </w:rPr>
        <w:t>公告</w:t>
      </w:r>
      <w:r>
        <w:rPr>
          <w:rFonts w:hint="eastAsia" w:ascii="仿宋" w:hAnsi="仿宋" w:eastAsia="仿宋" w:cs="仿宋"/>
          <w:sz w:val="32"/>
          <w:szCs w:val="32"/>
          <w:lang w:val="en-US" w:eastAsia="zh-CN"/>
        </w:rPr>
        <w:t>资质及技术</w:t>
      </w:r>
      <w:r>
        <w:rPr>
          <w:rFonts w:hint="eastAsia" w:ascii="仿宋" w:hAnsi="仿宋" w:eastAsia="仿宋" w:cs="仿宋"/>
          <w:sz w:val="32"/>
          <w:szCs w:val="32"/>
        </w:rPr>
        <w:t>要求</w:t>
      </w:r>
    </w:p>
    <w:p w14:paraId="214E0C64">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1、必须为在中华人民共和国境内注册成立的独立法人单位，营业执照经营范围包括此次招标项目的煤炭运输，有独立承担民事责任的能力，有健全、有效的管理制度和质量保证体系，提供</w:t>
      </w:r>
    </w:p>
    <w:p w14:paraId="7C456782">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（1）营业执照；</w:t>
      </w:r>
    </w:p>
    <w:p w14:paraId="7ED02451">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（2）一般纳税人资格；</w:t>
      </w:r>
    </w:p>
    <w:p w14:paraId="6F9A5753">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（3）法定代表人身份证明书；</w:t>
      </w:r>
    </w:p>
    <w:p w14:paraId="49A97F9A">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（4）法定代表人授权委托书（原件）；</w:t>
      </w:r>
    </w:p>
    <w:p w14:paraId="31F0F5F6">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（5）被委托人身份证明。</w:t>
      </w:r>
    </w:p>
    <w:p w14:paraId="6A17891B">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2、具有公路运输经</w:t>
      </w:r>
      <w:bookmarkStart w:id="0" w:name="_GoBack"/>
      <w:bookmarkEnd w:id="0"/>
      <w:r>
        <w:rPr>
          <w:rFonts w:hint="eastAsia" w:ascii="仿宋" w:hAnsi="仿宋" w:eastAsia="仿宋"/>
          <w:color w:val="000000"/>
          <w:sz w:val="24"/>
        </w:rPr>
        <w:t>营的《道路运输经营许可证》等相关资质证明，具有</w:t>
      </w:r>
      <w:r>
        <w:rPr>
          <w:rFonts w:hint="eastAsia" w:ascii="仿宋" w:hAnsi="仿宋" w:eastAsia="仿宋"/>
          <w:color w:val="000000"/>
          <w:sz w:val="24"/>
          <w:highlight w:val="none"/>
          <w:lang w:val="en-US" w:eastAsia="zh-CN"/>
        </w:rPr>
        <w:t>五</w:t>
      </w:r>
      <w:r>
        <w:rPr>
          <w:rFonts w:hint="eastAsia" w:ascii="仿宋" w:hAnsi="仿宋" w:eastAsia="仿宋"/>
          <w:color w:val="000000"/>
          <w:sz w:val="24"/>
          <w:highlight w:val="none"/>
        </w:rPr>
        <w:t>年</w:t>
      </w:r>
      <w:r>
        <w:rPr>
          <w:rFonts w:hint="eastAsia" w:ascii="仿宋" w:hAnsi="仿宋" w:eastAsia="仿宋"/>
          <w:color w:val="000000"/>
          <w:sz w:val="24"/>
        </w:rPr>
        <w:t>以上煤炭物流营运经验，具备良好的运输组织和调度控制能力。</w:t>
      </w:r>
    </w:p>
    <w:p w14:paraId="5BE3BB4B">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3、投标人业绩要求：</w:t>
      </w:r>
    </w:p>
    <w:p w14:paraId="550D8AC3">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（1）提供投标人近三年（2021年-2023年，以合同签订时间为准）煤炭运输合同业绩</w:t>
      </w:r>
      <w:r>
        <w:rPr>
          <w:rFonts w:hint="eastAsia" w:ascii="仿宋" w:hAnsi="仿宋" w:eastAsia="仿宋"/>
          <w:color w:val="auto"/>
          <w:sz w:val="24"/>
          <w:highlight w:val="none"/>
          <w:lang w:val="en-US" w:eastAsia="zh-CN"/>
        </w:rPr>
        <w:t>3</w:t>
      </w:r>
      <w:r>
        <w:rPr>
          <w:rFonts w:hint="eastAsia" w:ascii="仿宋" w:hAnsi="仿宋" w:eastAsia="仿宋"/>
          <w:color w:val="000000"/>
          <w:sz w:val="24"/>
        </w:rPr>
        <w:t>份，且三年合同累计煤炭运输量不低于500万吨。</w:t>
      </w:r>
    </w:p>
    <w:p w14:paraId="10CE32AE">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（2）投标人须提供能证明本次招标业绩要求的合同、付款发票（与合同对应的发票），国家税务总局发票查验平台可查验、用户证明扫描件。</w:t>
      </w:r>
    </w:p>
    <w:p w14:paraId="5DAE3739">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4、投标人需设立驻矿项目部集中管理，项目人员资格要求：</w:t>
      </w:r>
    </w:p>
    <w:p w14:paraId="54E3D391">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（1）项目经理应具有担任煤炭运输业务项目经理的业绩。</w:t>
      </w:r>
    </w:p>
    <w:p w14:paraId="12067BAD">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（2）项目其他主要人员要求：</w:t>
      </w:r>
    </w:p>
    <w:p w14:paraId="2A687251">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a、项目管理机构配备要求：项目运营管理机构、项目安全管理机构；</w:t>
      </w:r>
    </w:p>
    <w:p w14:paraId="3C68F949">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c、其他车辆驾驶人员应具有相应的驾驶证。</w:t>
      </w:r>
    </w:p>
    <w:p w14:paraId="3F055A7C">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d、投入本项目的特殊工种，需具备相应的特殊工种资格证。</w:t>
      </w:r>
    </w:p>
    <w:p w14:paraId="663C02B5">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 xml:space="preserve">e、项目安全管理机构要求：投标人须派专职安全负责人，专职安全管理人员不少于2人。 </w:t>
      </w:r>
    </w:p>
    <w:p w14:paraId="40EE832A">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5、投标人主要设备要求：</w:t>
      </w:r>
    </w:p>
    <w:p w14:paraId="325FC510">
      <w:pPr>
        <w:spacing w:line="380" w:lineRule="exact"/>
        <w:ind w:right="84" w:firstLine="560"/>
        <w:jc w:val="left"/>
        <w:rPr>
          <w:rFonts w:ascii="仿宋" w:hAnsi="仿宋" w:eastAsia="仿宋"/>
          <w:color w:val="000000"/>
          <w:sz w:val="24"/>
        </w:rPr>
      </w:pPr>
      <w:r>
        <w:rPr>
          <w:rFonts w:hint="eastAsia" w:ascii="仿宋" w:hAnsi="仿宋" w:eastAsia="仿宋"/>
          <w:color w:val="000000"/>
          <w:sz w:val="24"/>
        </w:rPr>
        <w:t>（1）要求配</w:t>
      </w:r>
      <w:r>
        <w:rPr>
          <w:rFonts w:hint="eastAsia" w:ascii="仿宋" w:hAnsi="仿宋" w:eastAsia="仿宋"/>
          <w:color w:val="auto"/>
          <w:sz w:val="24"/>
        </w:rPr>
        <w:t>备</w:t>
      </w:r>
      <w:r>
        <w:rPr>
          <w:rFonts w:hint="eastAsia" w:ascii="仿宋" w:hAnsi="仿宋" w:eastAsia="仿宋"/>
          <w:color w:val="auto"/>
          <w:sz w:val="24"/>
          <w:lang w:eastAsia="zh-CN"/>
        </w:rPr>
        <w:t>满足运量要求的</w:t>
      </w:r>
      <w:r>
        <w:rPr>
          <w:rFonts w:hint="eastAsia" w:ascii="仿宋" w:hAnsi="仿宋" w:eastAsia="仿宋"/>
          <w:color w:val="auto"/>
          <w:sz w:val="24"/>
        </w:rPr>
        <w:t>2020年1月1日</w:t>
      </w:r>
      <w:r>
        <w:rPr>
          <w:rFonts w:hint="eastAsia" w:ascii="仿宋" w:hAnsi="仿宋" w:eastAsia="仿宋"/>
          <w:color w:val="000000"/>
          <w:sz w:val="24"/>
        </w:rPr>
        <w:t>后出厂自有</w:t>
      </w:r>
      <w:r>
        <w:rPr>
          <w:rFonts w:hint="eastAsia" w:ascii="仿宋" w:hAnsi="仿宋" w:eastAsia="仿宋"/>
          <w:color w:val="000000"/>
          <w:sz w:val="24"/>
          <w:lang w:val="en-US" w:eastAsia="zh-CN"/>
        </w:rPr>
        <w:t>运输</w:t>
      </w:r>
      <w:r>
        <w:rPr>
          <w:rFonts w:hint="eastAsia" w:ascii="仿宋" w:hAnsi="仿宋" w:eastAsia="仿宋"/>
          <w:color w:val="000000"/>
          <w:sz w:val="24"/>
        </w:rPr>
        <w:t>设备</w:t>
      </w:r>
      <w:r>
        <w:rPr>
          <w:rFonts w:hint="eastAsia" w:ascii="仿宋" w:hAnsi="仿宋" w:eastAsia="仿宋"/>
          <w:color w:val="000000"/>
          <w:sz w:val="24"/>
          <w:lang w:eastAsia="zh-CN"/>
        </w:rPr>
        <w:t>，</w:t>
      </w:r>
      <w:r>
        <w:rPr>
          <w:rFonts w:hint="eastAsia" w:ascii="仿宋" w:hAnsi="仿宋" w:eastAsia="仿宋"/>
          <w:color w:val="000000"/>
          <w:sz w:val="24"/>
        </w:rPr>
        <w:t>运输设备须为矿用自卸卡车（后翻</w:t>
      </w:r>
      <w:r>
        <w:rPr>
          <w:rFonts w:hint="eastAsia" w:ascii="仿宋" w:hAnsi="仿宋" w:eastAsia="仿宋"/>
          <w:color w:val="000000"/>
          <w:sz w:val="24"/>
          <w:lang w:eastAsia="zh-CN"/>
        </w:rPr>
        <w:t>，乌专线进煤棚可侧翻，但需要实地考察</w:t>
      </w:r>
      <w:r>
        <w:rPr>
          <w:rFonts w:hint="eastAsia" w:ascii="仿宋" w:hAnsi="仿宋" w:eastAsia="仿宋"/>
          <w:color w:val="000000"/>
          <w:sz w:val="24"/>
        </w:rPr>
        <w:t>），额定载重量30t及以上且自有数量不得少于</w:t>
      </w:r>
      <w:r>
        <w:rPr>
          <w:rFonts w:hint="eastAsia" w:ascii="仿宋" w:hAnsi="仿宋" w:eastAsia="仿宋"/>
          <w:color w:val="auto"/>
          <w:sz w:val="24"/>
          <w:lang w:val="en-US" w:eastAsia="zh-CN"/>
        </w:rPr>
        <w:t>5</w:t>
      </w:r>
      <w:r>
        <w:rPr>
          <w:rFonts w:hint="eastAsia" w:ascii="仿宋" w:hAnsi="仿宋" w:eastAsia="仿宋"/>
          <w:color w:val="auto"/>
          <w:sz w:val="24"/>
        </w:rPr>
        <w:t>0</w:t>
      </w:r>
      <w:r>
        <w:rPr>
          <w:rFonts w:hint="eastAsia" w:ascii="仿宋" w:hAnsi="仿宋" w:eastAsia="仿宋"/>
          <w:color w:val="000000"/>
          <w:sz w:val="24"/>
        </w:rPr>
        <w:t>台，其中符合</w:t>
      </w:r>
      <w:r>
        <w:rPr>
          <w:rFonts w:hint="eastAsia" w:ascii="仿宋" w:hAnsi="仿宋" w:eastAsia="仿宋"/>
          <w:color w:val="000000"/>
          <w:sz w:val="24"/>
          <w:lang w:eastAsia="zh-CN"/>
        </w:rPr>
        <w:t>国家相关</w:t>
      </w:r>
      <w:r>
        <w:rPr>
          <w:rFonts w:hint="eastAsia" w:ascii="仿宋" w:hAnsi="仿宋" w:eastAsia="仿宋"/>
          <w:color w:val="000000"/>
          <w:sz w:val="24"/>
        </w:rPr>
        <w:t>车辆排放</w:t>
      </w:r>
      <w:r>
        <w:rPr>
          <w:rFonts w:hint="eastAsia" w:ascii="仿宋" w:hAnsi="仿宋" w:eastAsia="仿宋"/>
          <w:color w:val="000000"/>
          <w:sz w:val="24"/>
          <w:lang w:eastAsia="zh-CN"/>
        </w:rPr>
        <w:t>要求的</w:t>
      </w:r>
      <w:r>
        <w:rPr>
          <w:rFonts w:hint="eastAsia" w:ascii="仿宋" w:hAnsi="仿宋" w:eastAsia="仿宋"/>
          <w:color w:val="000000"/>
          <w:sz w:val="24"/>
        </w:rPr>
        <w:t>不少于</w:t>
      </w:r>
      <w:r>
        <w:rPr>
          <w:rFonts w:hint="eastAsia" w:ascii="仿宋" w:hAnsi="仿宋" w:eastAsia="仿宋"/>
          <w:color w:val="auto"/>
          <w:sz w:val="24"/>
          <w:lang w:val="en-US" w:eastAsia="zh-CN"/>
        </w:rPr>
        <w:t>30</w:t>
      </w:r>
      <w:r>
        <w:rPr>
          <w:rFonts w:hint="eastAsia" w:ascii="仿宋" w:hAnsi="仿宋" w:eastAsia="仿宋"/>
          <w:color w:val="000000"/>
          <w:sz w:val="24"/>
        </w:rPr>
        <w:t>台</w:t>
      </w:r>
      <w:r>
        <w:rPr>
          <w:rFonts w:hint="eastAsia" w:ascii="仿宋" w:hAnsi="仿宋" w:eastAsia="仿宋"/>
          <w:color w:val="000000"/>
          <w:sz w:val="24"/>
          <w:lang w:eastAsia="zh-CN"/>
        </w:rPr>
        <w:t>，</w:t>
      </w:r>
      <w:r>
        <w:rPr>
          <w:rFonts w:hint="eastAsia" w:ascii="仿宋" w:hAnsi="仿宋" w:eastAsia="仿宋"/>
          <w:color w:val="000000"/>
          <w:sz w:val="24"/>
        </w:rPr>
        <w:t>重皮车不少于</w:t>
      </w:r>
      <w:r>
        <w:rPr>
          <w:rFonts w:hint="eastAsia" w:ascii="仿宋" w:hAnsi="仿宋" w:eastAsia="仿宋"/>
          <w:color w:val="auto"/>
          <w:sz w:val="24"/>
          <w:lang w:val="en-US" w:eastAsia="zh-CN"/>
        </w:rPr>
        <w:t>2</w:t>
      </w:r>
      <w:r>
        <w:rPr>
          <w:rFonts w:hint="eastAsia" w:ascii="仿宋" w:hAnsi="仿宋" w:eastAsia="仿宋"/>
          <w:color w:val="auto"/>
          <w:sz w:val="24"/>
        </w:rPr>
        <w:t>0</w:t>
      </w:r>
      <w:r>
        <w:rPr>
          <w:rFonts w:hint="eastAsia" w:ascii="仿宋" w:hAnsi="仿宋" w:eastAsia="仿宋"/>
          <w:color w:val="000000"/>
          <w:sz w:val="24"/>
        </w:rPr>
        <w:t>台（</w:t>
      </w:r>
      <w:r>
        <w:rPr>
          <w:rFonts w:hint="eastAsia" w:ascii="仿宋" w:hAnsi="仿宋" w:eastAsia="仿宋"/>
          <w:color w:val="000000"/>
          <w:sz w:val="24"/>
          <w:lang w:val="en-US" w:eastAsia="zh-CN"/>
        </w:rPr>
        <w:t>重皮车不限制车辆年限</w:t>
      </w:r>
      <w:r>
        <w:rPr>
          <w:rFonts w:hint="eastAsia" w:ascii="仿宋" w:hAnsi="仿宋" w:eastAsia="仿宋"/>
          <w:color w:val="000000"/>
          <w:sz w:val="24"/>
        </w:rPr>
        <w:t>，额定载重量28吨以上）</w:t>
      </w:r>
      <w:r>
        <w:rPr>
          <w:rFonts w:hint="eastAsia" w:ascii="仿宋" w:hAnsi="仿宋" w:eastAsia="仿宋"/>
          <w:color w:val="000000"/>
          <w:sz w:val="24"/>
          <w:lang w:eastAsia="zh-CN"/>
        </w:rPr>
        <w:t>。</w:t>
      </w:r>
      <w:r>
        <w:rPr>
          <w:rFonts w:hint="eastAsia" w:ascii="仿宋" w:hAnsi="仿宋" w:eastAsia="仿宋"/>
          <w:color w:val="000000"/>
          <w:sz w:val="24"/>
        </w:rPr>
        <w:t>所有</w:t>
      </w:r>
      <w:r>
        <w:rPr>
          <w:rFonts w:hint="eastAsia" w:ascii="仿宋" w:hAnsi="仿宋" w:eastAsia="仿宋"/>
          <w:color w:val="000000"/>
          <w:sz w:val="24"/>
          <w:lang w:val="en-US" w:eastAsia="zh-CN"/>
        </w:rPr>
        <w:t>车辆</w:t>
      </w:r>
      <w:r>
        <w:rPr>
          <w:rFonts w:hint="eastAsia" w:ascii="仿宋" w:hAnsi="仿宋" w:eastAsia="仿宋"/>
          <w:color w:val="000000"/>
          <w:sz w:val="24"/>
        </w:rPr>
        <w:t>需提供两张全方位高清照片</w:t>
      </w:r>
      <w:r>
        <w:rPr>
          <w:rFonts w:hint="eastAsia" w:ascii="仿宋" w:hAnsi="仿宋" w:eastAsia="仿宋"/>
          <w:color w:val="000000"/>
          <w:sz w:val="24"/>
          <w:lang w:eastAsia="zh-CN"/>
        </w:rPr>
        <w:t>，</w:t>
      </w:r>
      <w:r>
        <w:rPr>
          <w:rFonts w:hint="eastAsia" w:ascii="仿宋" w:hAnsi="仿宋" w:eastAsia="仿宋"/>
          <w:color w:val="000000"/>
          <w:sz w:val="24"/>
        </w:rPr>
        <w:t>提供每辆车的隶属关系证明（行驶证、机动车登记证、道路运营许可证等）。并根据车辆运行状况及时更新或增补车辆，保证全部运输车辆处于完好运行状态。</w:t>
      </w:r>
    </w:p>
    <w:p w14:paraId="0E214238">
      <w:pPr>
        <w:spacing w:line="380" w:lineRule="exact"/>
        <w:ind w:right="84" w:firstLine="560"/>
        <w:jc w:val="left"/>
        <w:rPr>
          <w:rFonts w:hint="default" w:ascii="仿宋" w:hAnsi="仿宋" w:eastAsia="仿宋"/>
          <w:color w:val="000000"/>
          <w:sz w:val="24"/>
          <w:highlight w:val="none"/>
          <w:lang w:val="en-US" w:eastAsia="zh-CN"/>
        </w:rPr>
      </w:pPr>
      <w:r>
        <w:rPr>
          <w:rFonts w:hint="eastAsia" w:ascii="仿宋" w:hAnsi="仿宋" w:eastAsia="仿宋"/>
          <w:color w:val="000000"/>
          <w:sz w:val="24"/>
        </w:rPr>
        <w:t>（</w:t>
      </w:r>
      <w:r>
        <w:rPr>
          <w:rFonts w:hint="eastAsia" w:ascii="仿宋" w:hAnsi="仿宋" w:eastAsia="仿宋"/>
          <w:color w:val="000000"/>
          <w:sz w:val="24"/>
          <w:lang w:val="en-US" w:eastAsia="zh-CN"/>
        </w:rPr>
        <w:t>2</w:t>
      </w:r>
      <w:r>
        <w:rPr>
          <w:rFonts w:hint="eastAsia" w:ascii="仿宋" w:hAnsi="仿宋" w:eastAsia="仿宋"/>
          <w:color w:val="000000"/>
          <w:sz w:val="24"/>
        </w:rPr>
        <w:t>）投标人运输车辆须缴纳的保险包括并不限于以下险种：机动车交通事故责任强制保险、不低于200万元的第三者责任险、车上人员责任险、</w:t>
      </w:r>
      <w:r>
        <w:rPr>
          <w:rFonts w:hint="eastAsia" w:ascii="仿宋" w:hAnsi="仿宋" w:eastAsia="仿宋"/>
          <w:color w:val="000000"/>
          <w:sz w:val="24"/>
          <w:highlight w:val="none"/>
        </w:rPr>
        <w:t>司机工伤保险</w:t>
      </w:r>
      <w:r>
        <w:rPr>
          <w:rFonts w:hint="eastAsia" w:ascii="仿宋" w:hAnsi="仿宋" w:eastAsia="仿宋"/>
          <w:color w:val="000000"/>
          <w:sz w:val="24"/>
          <w:highlight w:val="none"/>
          <w:lang w:val="en-US" w:eastAsia="zh-CN"/>
        </w:rPr>
        <w:t>凭证</w:t>
      </w:r>
      <w:r>
        <w:rPr>
          <w:rFonts w:hint="eastAsia" w:ascii="仿宋" w:hAnsi="仿宋" w:eastAsia="仿宋"/>
          <w:color w:val="000000"/>
          <w:sz w:val="24"/>
        </w:rPr>
        <w:t>、车辆超赔险等。</w:t>
      </w:r>
      <w:r>
        <w:rPr>
          <w:rFonts w:hint="eastAsia" w:ascii="仿宋" w:hAnsi="仿宋" w:eastAsia="仿宋"/>
          <w:color w:val="000000"/>
          <w:sz w:val="24"/>
          <w:highlight w:val="none"/>
          <w:lang w:val="en-US" w:eastAsia="zh-CN"/>
        </w:rPr>
        <w:t>需出具上述相关保险的保单凭证。</w:t>
      </w:r>
    </w:p>
    <w:p w14:paraId="135F308F">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w:t>
      </w:r>
      <w:r>
        <w:rPr>
          <w:rFonts w:hint="eastAsia" w:ascii="仿宋" w:hAnsi="仿宋" w:eastAsia="仿宋"/>
          <w:color w:val="000000"/>
          <w:sz w:val="24"/>
          <w:lang w:val="en-US" w:eastAsia="zh-CN"/>
        </w:rPr>
        <w:t>3</w:t>
      </w:r>
      <w:r>
        <w:rPr>
          <w:rFonts w:hint="eastAsia" w:ascii="仿宋" w:hAnsi="仿宋" w:eastAsia="仿宋"/>
          <w:color w:val="000000"/>
          <w:sz w:val="24"/>
        </w:rPr>
        <w:t>）投标人车辆</w:t>
      </w:r>
      <w:r>
        <w:rPr>
          <w:rFonts w:hint="eastAsia" w:ascii="仿宋" w:hAnsi="仿宋" w:eastAsia="仿宋"/>
          <w:color w:val="000000"/>
          <w:sz w:val="24"/>
          <w:lang w:eastAsia="zh-CN"/>
        </w:rPr>
        <w:t>要求：运输大海则煤</w:t>
      </w:r>
      <w:r>
        <w:rPr>
          <w:rFonts w:hint="eastAsia" w:ascii="仿宋" w:hAnsi="仿宋" w:eastAsia="仿宋"/>
          <w:color w:val="000000"/>
          <w:sz w:val="24"/>
        </w:rPr>
        <w:t>矿的业务统一</w:t>
      </w:r>
      <w:r>
        <w:rPr>
          <w:rFonts w:hint="eastAsia" w:ascii="仿宋" w:hAnsi="仿宋" w:eastAsia="仿宋"/>
          <w:color w:val="000000"/>
          <w:sz w:val="24"/>
          <w:lang w:eastAsia="zh-CN"/>
        </w:rPr>
        <w:t>由该矿</w:t>
      </w:r>
      <w:r>
        <w:rPr>
          <w:rFonts w:hint="eastAsia" w:ascii="仿宋" w:hAnsi="仿宋" w:eastAsia="仿宋"/>
          <w:color w:val="000000"/>
          <w:sz w:val="24"/>
        </w:rPr>
        <w:t>调度管理，</w:t>
      </w:r>
      <w:r>
        <w:rPr>
          <w:rFonts w:hint="eastAsia" w:ascii="仿宋" w:hAnsi="仿宋" w:eastAsia="仿宋"/>
          <w:color w:val="000000"/>
          <w:sz w:val="24"/>
          <w:lang w:eastAsia="zh-CN"/>
        </w:rPr>
        <w:t>运输淖尔濠煤矿煤炭的统一由天隆运销分公司统一调度管理；</w:t>
      </w:r>
      <w:r>
        <w:rPr>
          <w:rFonts w:hint="eastAsia" w:ascii="仿宋" w:hAnsi="仿宋" w:eastAsia="仿宋"/>
          <w:color w:val="000000"/>
          <w:sz w:val="24"/>
        </w:rPr>
        <w:t>运输过程中严格遵守</w:t>
      </w:r>
      <w:r>
        <w:rPr>
          <w:rFonts w:hint="eastAsia" w:ascii="仿宋" w:hAnsi="仿宋" w:eastAsia="仿宋"/>
          <w:color w:val="000000"/>
          <w:sz w:val="24"/>
          <w:lang w:eastAsia="zh-CN"/>
        </w:rPr>
        <w:t>相关单位和</w:t>
      </w:r>
      <w:r>
        <w:rPr>
          <w:rFonts w:hint="eastAsia" w:ascii="仿宋" w:hAnsi="仿宋" w:eastAsia="仿宋"/>
          <w:color w:val="000000"/>
          <w:sz w:val="24"/>
        </w:rPr>
        <w:t>站</w:t>
      </w:r>
      <w:r>
        <w:rPr>
          <w:rFonts w:hint="eastAsia" w:ascii="仿宋" w:hAnsi="仿宋" w:eastAsia="仿宋"/>
          <w:color w:val="000000"/>
          <w:sz w:val="24"/>
          <w:lang w:eastAsia="zh-CN"/>
        </w:rPr>
        <w:t>台</w:t>
      </w:r>
      <w:r>
        <w:rPr>
          <w:rFonts w:hint="eastAsia" w:ascii="仿宋" w:hAnsi="仿宋" w:eastAsia="仿宋"/>
          <w:color w:val="000000"/>
          <w:sz w:val="24"/>
        </w:rPr>
        <w:t>的各项规章制度，不准超载运输，运输车辆全部加装GPS装置并保证运营期间全路段正常运行，并向</w:t>
      </w:r>
      <w:r>
        <w:rPr>
          <w:rFonts w:hint="eastAsia" w:ascii="仿宋" w:hAnsi="仿宋" w:eastAsia="仿宋"/>
          <w:color w:val="000000"/>
          <w:sz w:val="24"/>
          <w:lang w:eastAsia="zh-CN"/>
        </w:rPr>
        <w:t>管理单位</w:t>
      </w:r>
      <w:r>
        <w:rPr>
          <w:rFonts w:hint="eastAsia" w:ascii="仿宋" w:hAnsi="仿宋" w:eastAsia="仿宋"/>
          <w:color w:val="000000"/>
          <w:sz w:val="24"/>
        </w:rPr>
        <w:t>提供查询管理账号。</w:t>
      </w:r>
    </w:p>
    <w:p w14:paraId="48D69C0A">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w:t>
      </w:r>
      <w:r>
        <w:rPr>
          <w:rFonts w:hint="eastAsia" w:ascii="仿宋" w:hAnsi="仿宋" w:eastAsia="仿宋"/>
          <w:color w:val="000000"/>
          <w:sz w:val="24"/>
          <w:lang w:val="en-US" w:eastAsia="zh-CN"/>
        </w:rPr>
        <w:t>4</w:t>
      </w:r>
      <w:r>
        <w:rPr>
          <w:rFonts w:hint="eastAsia" w:ascii="仿宋" w:hAnsi="仿宋" w:eastAsia="仿宋"/>
          <w:color w:val="000000"/>
          <w:sz w:val="24"/>
        </w:rPr>
        <w:t>）运输期间，投标人负责车辆的油料消耗、人员工资、维修、保养、清洗、维护，并符合</w:t>
      </w:r>
      <w:r>
        <w:rPr>
          <w:rFonts w:hint="eastAsia" w:ascii="仿宋" w:hAnsi="仿宋" w:eastAsia="仿宋"/>
          <w:sz w:val="24"/>
          <w:lang w:eastAsia="zh-CN"/>
        </w:rPr>
        <w:t>天隆集团</w:t>
      </w:r>
      <w:r>
        <w:rPr>
          <w:rFonts w:hint="eastAsia" w:ascii="仿宋" w:hAnsi="仿宋" w:eastAsia="仿宋"/>
          <w:color w:val="000000"/>
          <w:sz w:val="24"/>
        </w:rPr>
        <w:t>企业形象建设要求，费用由投标人承担。车辆发生故障，不能正常运输，投标人应第一时间通知</w:t>
      </w:r>
      <w:r>
        <w:rPr>
          <w:rFonts w:hint="eastAsia" w:ascii="仿宋" w:hAnsi="仿宋" w:eastAsia="仿宋"/>
          <w:color w:val="000000"/>
          <w:sz w:val="24"/>
          <w:lang w:eastAsia="zh-CN"/>
        </w:rPr>
        <w:t>管理单位</w:t>
      </w:r>
      <w:r>
        <w:rPr>
          <w:rFonts w:hint="eastAsia" w:ascii="仿宋" w:hAnsi="仿宋" w:eastAsia="仿宋"/>
          <w:color w:val="000000"/>
          <w:sz w:val="24"/>
        </w:rPr>
        <w:t>调度室，否则，由此引起的一切损失均由投标人承担。</w:t>
      </w:r>
    </w:p>
    <w:p w14:paraId="6E9810AA">
      <w:pPr>
        <w:pStyle w:val="2"/>
        <w:rPr>
          <w:rFonts w:hint="eastAsia" w:ascii="仿宋" w:hAnsi="仿宋" w:eastAsia="仿宋"/>
          <w:color w:val="000000"/>
          <w:sz w:val="24"/>
          <w:lang w:val="en-US" w:eastAsia="zh-CN"/>
        </w:rPr>
      </w:pPr>
      <w:r>
        <w:rPr>
          <w:rFonts w:hint="eastAsia" w:ascii="仿宋" w:hAnsi="仿宋" w:eastAsia="仿宋"/>
          <w:color w:val="000000"/>
          <w:sz w:val="24"/>
          <w:lang w:val="en-US" w:eastAsia="zh-CN"/>
        </w:rPr>
        <w:t xml:space="preserve"> （5）大海则煤矿到朱盖塔站24公里，到黑炭沟站约28公里，到乌兰木伦站走包府线55公里，走近线约47公里；淖尔濠到乌兰木伦站约9公里。</w:t>
      </w:r>
    </w:p>
    <w:p w14:paraId="270D1948">
      <w:pPr>
        <w:pStyle w:val="2"/>
        <w:ind w:left="0" w:leftChars="0" w:firstLine="480" w:firstLineChars="200"/>
        <w:rPr>
          <w:rFonts w:hint="eastAsia" w:ascii="仿宋" w:hAnsi="仿宋" w:eastAsia="仿宋"/>
          <w:color w:val="000000"/>
          <w:sz w:val="24"/>
        </w:rPr>
      </w:pPr>
      <w:r>
        <w:rPr>
          <w:rFonts w:hint="eastAsia" w:ascii="仿宋" w:hAnsi="仿宋" w:eastAsia="仿宋"/>
          <w:color w:val="000000"/>
          <w:sz w:val="24"/>
        </w:rPr>
        <w:t>6、 信誉要求：</w:t>
      </w:r>
    </w:p>
    <w:p w14:paraId="4A1454A0">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6.1</w:t>
      </w:r>
      <w:r>
        <w:rPr>
          <w:rFonts w:ascii="仿宋" w:hAnsi="仿宋" w:eastAsia="仿宋"/>
          <w:color w:val="000000"/>
          <w:sz w:val="24"/>
        </w:rPr>
        <w:t xml:space="preserve"> </w:t>
      </w:r>
      <w:r>
        <w:rPr>
          <w:rFonts w:hint="eastAsia" w:ascii="仿宋" w:hAnsi="仿宋" w:eastAsia="仿宋"/>
          <w:color w:val="000000"/>
          <w:sz w:val="24"/>
        </w:rPr>
        <w:t>投标人2021年1月1日起至今未发生较大安全生产事故，无重大质量事故；没有处于被责令停业、财产被接管、冻结、破产状态；近3年未在承揽招标项目类似业务中由于乙方过错与甲方发生纠纷或法律诉讼；不存在拖欠民工工资问题；未在信用中国网站列入失信被执行人、重大税收违法案件当事人名单、政府采购严重违法失信行为记录名单；未被工商行政管理机关在国家企业信用信息公示系统列入严重违法失信企业名单（黑名单）；须提供以上网站全部查询截图。</w:t>
      </w:r>
    </w:p>
    <w:p w14:paraId="6EDDA83A">
      <w:pPr>
        <w:spacing w:line="380" w:lineRule="exact"/>
        <w:ind w:right="84" w:firstLine="560"/>
        <w:jc w:val="left"/>
        <w:rPr>
          <w:rFonts w:hint="eastAsia" w:ascii="仿宋" w:hAnsi="仿宋" w:eastAsia="仿宋"/>
          <w:color w:val="000000"/>
          <w:sz w:val="24"/>
        </w:rPr>
      </w:pPr>
      <w:r>
        <w:rPr>
          <w:rFonts w:hint="eastAsia" w:ascii="仿宋" w:hAnsi="仿宋" w:eastAsia="仿宋"/>
          <w:color w:val="000000"/>
          <w:sz w:val="24"/>
        </w:rPr>
        <w:t>6.2</w:t>
      </w:r>
      <w:r>
        <w:rPr>
          <w:rFonts w:ascii="仿宋" w:hAnsi="仿宋" w:eastAsia="仿宋"/>
          <w:color w:val="000000"/>
          <w:sz w:val="24"/>
        </w:rPr>
        <w:t xml:space="preserve"> </w:t>
      </w:r>
      <w:r>
        <w:rPr>
          <w:rFonts w:hint="eastAsia" w:ascii="仿宋" w:hAnsi="仿宋" w:eastAsia="仿宋"/>
          <w:color w:val="000000"/>
          <w:sz w:val="24"/>
        </w:rPr>
        <w:t>投标企业提供的相应证明文件必须真实有效，如有虚假一律作废标处理。投标文件造假者将在3年内禁止参与内蒙古神东天隆集团股份有限公司所有项目投标，投标保证金不予退还。如造成损失，招标人将向其追索损失赔偿金并向相关政府行政管理部门举报投诉。</w:t>
      </w:r>
    </w:p>
    <w:p w14:paraId="2F39F63D">
      <w:pPr>
        <w:spacing w:line="380" w:lineRule="exact"/>
        <w:ind w:right="84" w:firstLine="560"/>
        <w:rPr>
          <w:rFonts w:ascii="仿宋" w:hAnsi="仿宋" w:eastAsia="仿宋"/>
          <w:color w:val="000000"/>
          <w:sz w:val="24"/>
        </w:rPr>
      </w:pPr>
      <w:r>
        <w:rPr>
          <w:rFonts w:hint="eastAsia" w:ascii="仿宋" w:hAnsi="仿宋" w:eastAsia="仿宋"/>
          <w:color w:val="000000"/>
          <w:sz w:val="24"/>
        </w:rPr>
        <w:t>6.3</w:t>
      </w:r>
      <w:r>
        <w:rPr>
          <w:rFonts w:ascii="仿宋" w:hAnsi="仿宋" w:eastAsia="仿宋"/>
          <w:color w:val="000000"/>
          <w:sz w:val="24"/>
        </w:rPr>
        <w:t xml:space="preserve"> </w:t>
      </w:r>
      <w:r>
        <w:rPr>
          <w:rFonts w:hint="eastAsia" w:ascii="仿宋" w:hAnsi="仿宋" w:eastAsia="仿宋"/>
          <w:color w:val="000000"/>
          <w:sz w:val="24"/>
        </w:rPr>
        <w:t>投标人存在不良行为记录的禁止投标。不良行为记录是指：中华人民共和国最高人民法院官网（http://www.court.gov.cn/）名单信息公布与查询平台所发布的不良记录、全国企业信用信息公示系统（http://gsxt.saic.gov.cn/）所发布的严重违法名单。</w:t>
      </w:r>
    </w:p>
    <w:p w14:paraId="70E70949">
      <w:pPr>
        <w:pStyle w:val="2"/>
        <w:ind w:left="0" w:leftChars="0" w:firstLine="480" w:firstLineChars="200"/>
        <w:rPr>
          <w:rFonts w:hint="eastAsia" w:ascii="仿宋" w:hAnsi="仿宋" w:eastAsia="仿宋"/>
          <w:lang w:val="en-US" w:eastAsia="zh-CN"/>
        </w:rPr>
      </w:pPr>
      <w:r>
        <w:rPr>
          <w:rFonts w:ascii="仿宋" w:hAnsi="仿宋" w:eastAsia="仿宋"/>
          <w:lang w:val="en-US" w:eastAsia="zh-CN"/>
        </w:rPr>
        <w:t>7、</w:t>
      </w:r>
      <w:r>
        <w:rPr>
          <w:rFonts w:hint="eastAsia" w:ascii="仿宋" w:hAnsi="仿宋" w:eastAsia="仿宋"/>
          <w:lang w:val="en-US" w:eastAsia="zh-CN"/>
        </w:rPr>
        <w:t>本项目不接受挂靠投标（授权投标代表需提供近一年内连续6个月养老保险缴纳证明），不接受联合体投标。</w:t>
      </w:r>
    </w:p>
    <w:p w14:paraId="6C96DF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N2Y4YTZlOGJhOTE5NzA5NmNiZGRkMWQ4N2ExOWEifQ=="/>
  </w:docVars>
  <w:rsids>
    <w:rsidRoot w:val="37771A26"/>
    <w:rsid w:val="14C842E9"/>
    <w:rsid w:val="1715758D"/>
    <w:rsid w:val="1D6152DA"/>
    <w:rsid w:val="22F20B8D"/>
    <w:rsid w:val="2615020A"/>
    <w:rsid w:val="2C90541C"/>
    <w:rsid w:val="37771A26"/>
    <w:rsid w:val="389C7087"/>
    <w:rsid w:val="3C3F2833"/>
    <w:rsid w:val="3C7D3325"/>
    <w:rsid w:val="59B77A55"/>
    <w:rsid w:val="6BF80185"/>
    <w:rsid w:val="6D96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adjustRightInd w:val="0"/>
      <w:snapToGrid w:val="0"/>
      <w:spacing w:before="260" w:after="260" w:line="416" w:lineRule="auto"/>
      <w:ind w:firstLine="200" w:firstLineChars="200"/>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tabs>
        <w:tab w:val="right" w:leader="dot" w:pos="8302"/>
      </w:tabs>
      <w:spacing w:line="360" w:lineRule="auto"/>
      <w:ind w:left="420" w:leftChars="200"/>
    </w:pPr>
    <w:rPr>
      <w:rFonts w:ascii="楷体_GB2312" w:eastAsia="楷体_GB2312"/>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1663</Words>
  <Characters>1747</Characters>
  <Lines>0</Lines>
  <Paragraphs>0</Paragraphs>
  <TotalTime>16</TotalTime>
  <ScaleCrop>false</ScaleCrop>
  <LinksUpToDate>false</LinksUpToDate>
  <CharactersWithSpaces>1753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2024-08-19T01:53:00Z</dcterms:created>
  <dc:creator>Administrator</dc:creator>
  <cp:lastModifiedBy>伞伞酱</cp:lastModifiedBy>
  <dcterms:modified xsi:type="dcterms:W3CDTF">2025-01-07T01:10:55Z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C52758B84BEB433DAF7695BCEDF94BFC_13</vt:lpwstr>
  </property>
  <property fmtid="{D5CDD505-2E9C-101B-9397-08002B2CF9AE}" pid="4" name="KSOTemplateDocerSaveRecord">
    <vt:lpwstr>eyJoZGlkIjoiZTExOGQyMWY0ZjhjN2RiZDhkZWJkMjBjMTI3NDJjNTIiLCJ1c2VySWQiOiIyNDQ2NTYzNjkifQ==</vt:lpwstr>
  </property>
</Properties>
</file>