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92A4B">
      <w:pPr>
        <w:pStyle w:val="5"/>
        <w:widowControl/>
        <w:spacing w:line="420" w:lineRule="exact"/>
        <w:rPr>
          <w:rFonts w:ascii="方正仿宋简体" w:hAnsi="方正仿宋简体" w:eastAsia="方正仿宋简体" w:cs="方正仿宋简体"/>
          <w:strike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附件1</w:t>
      </w:r>
    </w:p>
    <w:p w14:paraId="7EB3AF97">
      <w:pPr>
        <w:spacing w:line="420" w:lineRule="exact"/>
        <w:rPr>
          <w:rFonts w:ascii="方正仿宋简体" w:hAnsi="方正仿宋简体" w:eastAsia="方正仿宋简体" w:cs="方正仿宋简体"/>
          <w:strike/>
          <w:color w:val="auto"/>
          <w:sz w:val="32"/>
          <w:szCs w:val="32"/>
        </w:rPr>
      </w:pPr>
    </w:p>
    <w:p w14:paraId="62D70DD9">
      <w:pPr>
        <w:pStyle w:val="2"/>
        <w:adjustRightInd w:val="0"/>
        <w:spacing w:before="0" w:after="0" w:line="420" w:lineRule="exact"/>
        <w:jc w:val="center"/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出让区块基本情况表</w:t>
      </w:r>
    </w:p>
    <w:p w14:paraId="425A96FC"/>
    <w:tbl>
      <w:tblPr>
        <w:tblStyle w:val="6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351"/>
        <w:gridCol w:w="976"/>
        <w:gridCol w:w="1298"/>
        <w:gridCol w:w="2505"/>
        <w:gridCol w:w="2058"/>
        <w:gridCol w:w="4082"/>
        <w:gridCol w:w="1241"/>
      </w:tblGrid>
      <w:tr w14:paraId="742C5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230" w:type="pct"/>
            <w:vAlign w:val="center"/>
          </w:tcPr>
          <w:p w14:paraId="1B369392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476" w:type="pct"/>
            <w:vAlign w:val="center"/>
          </w:tcPr>
          <w:p w14:paraId="005EBBF7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区块名称</w:t>
            </w:r>
          </w:p>
        </w:tc>
        <w:tc>
          <w:tcPr>
            <w:tcW w:w="344" w:type="pct"/>
            <w:vAlign w:val="center"/>
          </w:tcPr>
          <w:p w14:paraId="62D39D5B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勘查</w:t>
            </w:r>
          </w:p>
          <w:p w14:paraId="0DC17CF3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矿种</w:t>
            </w:r>
          </w:p>
        </w:tc>
        <w:tc>
          <w:tcPr>
            <w:tcW w:w="458" w:type="pct"/>
            <w:vAlign w:val="center"/>
          </w:tcPr>
          <w:p w14:paraId="5D49D7C4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面积</w:t>
            </w:r>
          </w:p>
          <w:p w14:paraId="757427E5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（km</w:t>
            </w: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  <w:vertAlign w:val="superscript"/>
              </w:rPr>
              <w:t>2</w:t>
            </w: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）</w:t>
            </w:r>
          </w:p>
        </w:tc>
        <w:tc>
          <w:tcPr>
            <w:tcW w:w="884" w:type="pct"/>
            <w:vAlign w:val="center"/>
          </w:tcPr>
          <w:p w14:paraId="142E8937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区块拐点坐标</w:t>
            </w:r>
          </w:p>
          <w:p w14:paraId="64006BA6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（2000坐标系，平面</w:t>
            </w:r>
            <w:r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直角坐标</w:t>
            </w: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）</w:t>
            </w:r>
          </w:p>
        </w:tc>
        <w:tc>
          <w:tcPr>
            <w:tcW w:w="726" w:type="pct"/>
            <w:vAlign w:val="center"/>
          </w:tcPr>
          <w:p w14:paraId="0AFB7D37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赋煤标高</w:t>
            </w:r>
          </w:p>
        </w:tc>
        <w:tc>
          <w:tcPr>
            <w:tcW w:w="1440" w:type="pct"/>
            <w:vAlign w:val="center"/>
          </w:tcPr>
          <w:p w14:paraId="2EEB1F9B">
            <w:pPr>
              <w:snapToGrid w:val="0"/>
              <w:spacing w:line="420" w:lineRule="exact"/>
              <w:jc w:val="both"/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挂牌起始价</w:t>
            </w:r>
          </w:p>
        </w:tc>
        <w:tc>
          <w:tcPr>
            <w:tcW w:w="438" w:type="pct"/>
            <w:vAlign w:val="center"/>
          </w:tcPr>
          <w:p w14:paraId="50C85773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区块地理位置</w:t>
            </w:r>
          </w:p>
        </w:tc>
      </w:tr>
      <w:tr w14:paraId="3EACF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1" w:hRule="atLeast"/>
          <w:jc w:val="center"/>
        </w:trPr>
        <w:tc>
          <w:tcPr>
            <w:tcW w:w="230" w:type="pct"/>
            <w:vAlign w:val="center"/>
          </w:tcPr>
          <w:p w14:paraId="146171EE">
            <w:pPr>
              <w:snapToGrid w:val="0"/>
              <w:spacing w:line="420" w:lineRule="exact"/>
              <w:ind w:firstLine="320" w:firstLineChars="100"/>
              <w:jc w:val="both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  <w:t>1</w:t>
            </w:r>
          </w:p>
        </w:tc>
        <w:tc>
          <w:tcPr>
            <w:tcW w:w="476" w:type="pct"/>
            <w:vAlign w:val="center"/>
          </w:tcPr>
          <w:p w14:paraId="19BC19A6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  <w:t>西乌珠穆沁旗五间房矿区东一井煤矿</w:t>
            </w:r>
          </w:p>
        </w:tc>
        <w:tc>
          <w:tcPr>
            <w:tcW w:w="344" w:type="pct"/>
            <w:vAlign w:val="center"/>
          </w:tcPr>
          <w:p w14:paraId="45F959AC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  <w:t>煤</w:t>
            </w:r>
          </w:p>
        </w:tc>
        <w:tc>
          <w:tcPr>
            <w:tcW w:w="458" w:type="pct"/>
            <w:vAlign w:val="center"/>
          </w:tcPr>
          <w:p w14:paraId="7557EB80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  <w:t>59.57</w:t>
            </w:r>
          </w:p>
        </w:tc>
        <w:tc>
          <w:tcPr>
            <w:tcW w:w="884" w:type="pct"/>
            <w:vAlign w:val="center"/>
          </w:tcPr>
          <w:p w14:paraId="751EC2B5">
            <w:pPr>
              <w:adjustRightInd w:val="0"/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  <w:t>详见附件2</w:t>
            </w:r>
          </w:p>
        </w:tc>
        <w:tc>
          <w:tcPr>
            <w:tcW w:w="726" w:type="pct"/>
            <w:vAlign w:val="center"/>
          </w:tcPr>
          <w:p w14:paraId="037E7FB6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905～185</w:t>
            </w:r>
          </w:p>
        </w:tc>
        <w:tc>
          <w:tcPr>
            <w:tcW w:w="1440" w:type="pct"/>
            <w:vAlign w:val="center"/>
          </w:tcPr>
          <w:p w14:paraId="140762F7">
            <w:pPr>
              <w:snapToGrid w:val="0"/>
              <w:spacing w:line="420" w:lineRule="exact"/>
              <w:ind w:left="-991" w:leftChars="-472" w:firstLine="1161" w:firstLineChars="363"/>
              <w:jc w:val="both"/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  <w:t>1787.1万元整（人民币壹仟柒佰捌拾柒万壹仟元整）</w:t>
            </w:r>
          </w:p>
        </w:tc>
        <w:tc>
          <w:tcPr>
            <w:tcW w:w="438" w:type="pct"/>
            <w:vAlign w:val="center"/>
          </w:tcPr>
          <w:p w14:paraId="4CA71C59">
            <w:pPr>
              <w:snapToGrid w:val="0"/>
              <w:spacing w:line="420" w:lineRule="exact"/>
              <w:jc w:val="both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  <w:t>锡林勒盟西乌珠穆沁旗</w:t>
            </w:r>
          </w:p>
        </w:tc>
      </w:tr>
      <w:tr w14:paraId="0ECDB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0" w:type="pct"/>
            <w:vAlign w:val="center"/>
          </w:tcPr>
          <w:p w14:paraId="640571EF">
            <w:pPr>
              <w:snapToGrid w:val="0"/>
              <w:spacing w:line="420" w:lineRule="exact"/>
              <w:jc w:val="both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32"/>
                <w:szCs w:val="32"/>
              </w:rPr>
              <w:t>备注</w:t>
            </w:r>
          </w:p>
        </w:tc>
        <w:tc>
          <w:tcPr>
            <w:tcW w:w="4769" w:type="pct"/>
            <w:gridSpan w:val="7"/>
            <w:vAlign w:val="center"/>
          </w:tcPr>
          <w:p w14:paraId="1228BD48">
            <w:pPr>
              <w:snapToGrid w:val="0"/>
              <w:spacing w:line="420" w:lineRule="exact"/>
              <w:jc w:val="both"/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color w:val="auto"/>
                <w:sz w:val="32"/>
                <w:szCs w:val="32"/>
              </w:rPr>
              <w:t>在出让时征收竞争确定的成交价；在矿山开采时，按合同约定的矿业权出让收益率逐年度征收采矿权出让收益。矿业权出让收益率依据矿业权出让时《矿种目录》规定的标准确定。</w:t>
            </w:r>
          </w:p>
        </w:tc>
      </w:tr>
    </w:tbl>
    <w:p w14:paraId="09DA847A"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6860B3BD"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1078F">
    <w:pPr>
      <w:rPr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248285"/>
              <wp:effectExtent l="0" t="0" r="0" b="0"/>
              <wp:wrapNone/>
              <wp:docPr id="101070945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248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D3087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21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9.55pt;width:8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lDPZtEAAAAD&#10;AQAADwAAAGRycy9kb3ducmV2LnhtbE2PwU7DMBBE70j8g7WVuFEnVColxOmhEhduFITU2zbexlHt&#10;dWS7afL3uFzgstJoRjNv6+3krBgpxN6zgnJZgCBuve65U/D1+fa4ARETskbrmRTMFGHb3N/VWGl/&#10;5Q8a96kTuYRjhQpMSkMlZWwNOYxLPxBn7+SDw5Rl6KQOeM3lzsqnolhLhz3nBYMD7Qy15/3FKXie&#10;vj0NkXZ0OI1tMP28se+zUg+LsngFkWhKf2G44Wd0aDLT0V9YR2EV5EfS77156xWIo4LVSwmyqeV/&#10;9uYHUEsDBBQAAAAIAIdO4kCmFY1UEAIAAAsEAAAOAAAAZHJzL2Uyb0RvYy54bWytU8uO0zAU3SPx&#10;D5b3NGlnCiVqOhqmKkIaHtLAB7iO01gkvta126R8APwBKzbs+a5+B9dOUoZhMws20Y3te+45x8fL&#10;q66p2UGh02ByPp2knCkjodBml/NPHzfPFpw5L0whajAq50fl+NXq6ZNlazM1gwrqQiEjEOOy1ua8&#10;8t5mSeJkpRrhJmCVoc0SsBGefnGXFChaQm/qZJamz5MWsLAIUjlHq+t+kw+I+BhAKEst1RrkvlHG&#10;96ioauFJkqu0dXwV2Zalkv59WTrlWZ1zUurjl4ZQvQ3fZLUU2Q6FrbQcKIjHUHigqRHa0NAz1Fp4&#10;wfao/4FqtERwUPqJhCbphURHSMU0feDNXSWsilrIamfPprv/ByvfHT4g0wUlgea/SF9ezun+jWjo&#10;5k/fv51+/Dr9/Mougk+tdRkdv7PU4LtX0FFP1OzsLcjPjhm4qYTZqWtEaCslCuI5DZ3JvdYexwWQ&#10;bfsWCpoj9h4iUFdiE0wkWxih0x0dz3ekOs9kGJlezNM5Z5K2ZpeL2WIeJ4hsbLbo/GsFDQtFzpEi&#10;EMHF4db5QEZk45Ewy8BG13WMQW3+WqCDYSWSD3x75r7bdoMZWyiOJAOhTxW9KSoqwC+ctZSonBt6&#10;QJzVbwwZEcI3FjgW27EQRlJjzj1nfXnj+5DuLepdRbij1ddk1kZHIcHVnsPAkjIS9Q15DiG8/x9P&#10;/XnD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eUM9m0QAAAAMBAAAPAAAAAAAAAAEAIAAAACIA&#10;AABkcnMvZG93bnJldi54bWxQSwECFAAUAAAACACHTuJAphWNVBACAAALBAAADgAAAAAAAAABACAA&#10;AAAgAQAAZHJzL2Uyb0RvYy54bWxQSwUGAAAAAAYABgBZAQAAo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D3087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21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321FD">
    <w:pPr>
      <w:tabs>
        <w:tab w:val="center" w:pos="4153"/>
        <w:tab w:val="right" w:pos="8306"/>
      </w:tabs>
      <w:rPr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56CC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cs="Times New Roman"/>
    </w:rPr>
  </w:style>
  <w:style w:type="paragraph" w:styleId="4">
    <w:name w:val="Body Text First Indent 2"/>
    <w:basedOn w:val="3"/>
    <w:semiHidden/>
    <w:unhideWhenUsed/>
    <w:qFormat/>
    <w:uiPriority w:val="99"/>
    <w:pPr>
      <w:ind w:firstLine="420"/>
    </w:pPr>
    <w:rPr>
      <w:rFonts w:cs="黑体"/>
    </w:rPr>
  </w:style>
  <w:style w:type="paragraph" w:styleId="5">
    <w:name w:val="Normal (Web)"/>
    <w:basedOn w:val="1"/>
    <w:qFormat/>
    <w:uiPriority w:val="0"/>
    <w:pPr>
      <w:spacing w:after="150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2024-08-30T01:16:32Z</dcterms:created>
  <dc:creator>tyw</dc:creator>
  <cp:lastModifiedBy>WPS_1669454190</cp:lastModifiedBy>
  <dcterms:modified xsi:type="dcterms:W3CDTF">2024-08-30T01:17:44Z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517453D73F5D4DC78B4B8C70010B6E2F_12</vt:lpwstr>
  </property>
</Properties>
</file>