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ind w:left="421" w:hanging="421" w:hangingChars="131"/>
        <w:jc w:val="right"/>
        <w:rPr>
          <w:rFonts w:hint="default" w:ascii="宋体" w:hAnsi="宋体" w:eastAsia="黑体"/>
          <w:b/>
          <w:sz w:val="72"/>
          <w:szCs w:val="72"/>
          <w:lang w:val="en-US" w:eastAsia="zh-CN"/>
        </w:rPr>
      </w:pPr>
      <w:r>
        <w:rPr>
          <w:rFonts w:hint="eastAsia" w:ascii="黑体" w:hAnsi="黑体" w:eastAsia="黑体" w:cs="黑体"/>
          <w:b/>
          <w:sz w:val="32"/>
          <w:szCs w:val="32"/>
        </w:rPr>
        <w:t>编号：</w:t>
      </w:r>
      <w:r>
        <w:rPr>
          <w:rFonts w:hint="eastAsia" w:ascii="黑体" w:hAnsi="黑体" w:eastAsia="黑体" w:cs="黑体"/>
          <w:b/>
          <w:bCs/>
          <w:sz w:val="32"/>
          <w:szCs w:val="32"/>
        </w:rPr>
        <w:t>WY-202</w:t>
      </w:r>
      <w:r>
        <w:rPr>
          <w:rFonts w:hint="eastAsia" w:ascii="黑体" w:hAnsi="黑体" w:eastAsia="黑体" w:cs="黑体"/>
          <w:b/>
          <w:bCs/>
          <w:sz w:val="32"/>
          <w:szCs w:val="32"/>
          <w:lang w:val="en-US" w:eastAsia="zh-CN"/>
        </w:rPr>
        <w:t>3</w:t>
      </w:r>
      <w:r>
        <w:rPr>
          <w:rFonts w:hint="eastAsia" w:ascii="黑体" w:hAnsi="黑体" w:eastAsia="黑体" w:cs="黑体"/>
          <w:b/>
          <w:bCs/>
          <w:sz w:val="32"/>
          <w:szCs w:val="32"/>
        </w:rPr>
        <w:t>-ZX-00</w:t>
      </w:r>
      <w:r>
        <w:rPr>
          <w:rFonts w:hint="eastAsia" w:ascii="黑体" w:hAnsi="黑体" w:eastAsia="黑体" w:cs="黑体"/>
          <w:b/>
          <w:bCs/>
          <w:sz w:val="32"/>
          <w:szCs w:val="32"/>
          <w:lang w:val="en-US" w:eastAsia="zh-CN"/>
        </w:rPr>
        <w:t>2</w:t>
      </w:r>
    </w:p>
    <w:p>
      <w:pPr>
        <w:ind w:left="420"/>
        <w:jc w:val="center"/>
        <w:rPr>
          <w:rFonts w:ascii="宋体" w:hAnsi="宋体"/>
          <w:b/>
          <w:sz w:val="72"/>
          <w:szCs w:val="72"/>
        </w:rPr>
      </w:pPr>
    </w:p>
    <w:p>
      <w:pPr>
        <w:ind w:left="420"/>
        <w:jc w:val="center"/>
        <w:rPr>
          <w:rFonts w:ascii="宋体" w:hAnsi="宋体"/>
          <w:b/>
          <w:sz w:val="44"/>
          <w:szCs w:val="44"/>
        </w:rPr>
      </w:pPr>
    </w:p>
    <w:p>
      <w:pPr>
        <w:ind w:left="420"/>
        <w:jc w:val="center"/>
        <w:rPr>
          <w:rFonts w:ascii="宋体" w:hAnsi="宋体"/>
          <w:b/>
          <w:sz w:val="44"/>
          <w:szCs w:val="44"/>
        </w:rPr>
      </w:pPr>
    </w:p>
    <w:p>
      <w:pPr>
        <w:jc w:val="center"/>
        <w:rPr>
          <w:rFonts w:ascii="宋体" w:hAnsi="宋体" w:cs="宋体"/>
          <w:b/>
          <w:bCs/>
          <w:w w:val="80"/>
          <w:sz w:val="36"/>
          <w:szCs w:val="36"/>
        </w:rPr>
      </w:pPr>
      <w:r>
        <w:rPr>
          <w:rFonts w:hint="eastAsia" w:ascii="宋体" w:hAnsi="宋体" w:cs="宋体"/>
          <w:b/>
          <w:sz w:val="40"/>
          <w:szCs w:val="40"/>
        </w:rPr>
        <w:t>内蒙古神东天隆集团股份有限公司物业分公司</w:t>
      </w:r>
      <w:r>
        <w:rPr>
          <w:rFonts w:hint="eastAsia" w:ascii="宋体" w:hAnsi="宋体" w:cs="宋体"/>
          <w:b/>
          <w:bCs/>
          <w:w w:val="80"/>
          <w:sz w:val="40"/>
          <w:szCs w:val="40"/>
        </w:rPr>
        <w:t>关于</w:t>
      </w:r>
      <w:bookmarkStart w:id="0" w:name="_GoBack"/>
      <w:r>
        <w:rPr>
          <w:rFonts w:hint="eastAsia" w:ascii="宋体" w:hAnsi="宋体" w:cs="宋体"/>
          <w:b/>
          <w:bCs/>
          <w:w w:val="80"/>
          <w:sz w:val="40"/>
          <w:szCs w:val="40"/>
          <w:lang w:val="en-US" w:eastAsia="zh-CN"/>
        </w:rPr>
        <w:t>更换消防设施</w:t>
      </w:r>
      <w:bookmarkEnd w:id="0"/>
    </w:p>
    <w:p>
      <w:pPr>
        <w:jc w:val="center"/>
        <w:rPr>
          <w:rFonts w:ascii="宋体" w:hAnsi="宋体" w:cs="宋体"/>
          <w:b/>
          <w:bCs/>
          <w:w w:val="80"/>
          <w:sz w:val="36"/>
          <w:szCs w:val="36"/>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96"/>
          <w:szCs w:val="96"/>
        </w:rPr>
      </w:pPr>
      <w:r>
        <w:rPr>
          <w:rFonts w:hint="eastAsia" w:ascii="宋体" w:hAnsi="宋体" w:cs="宋体"/>
          <w:b/>
          <w:sz w:val="84"/>
          <w:szCs w:val="84"/>
        </w:rPr>
        <w:t>技 术 要 求</w:t>
      </w:r>
    </w:p>
    <w:p>
      <w:pPr>
        <w:jc w:val="center"/>
        <w:rPr>
          <w:rFonts w:ascii="宋体" w:hAnsi="宋体" w:cs="宋体"/>
          <w:b/>
          <w:sz w:val="32"/>
          <w:szCs w:val="32"/>
        </w:rPr>
      </w:pPr>
    </w:p>
    <w:p>
      <w:pPr>
        <w:tabs>
          <w:tab w:val="left" w:pos="1227"/>
        </w:tabs>
        <w:jc w:val="center"/>
        <w:rPr>
          <w:rFonts w:ascii="宋体" w:hAnsi="宋体" w:cs="宋体"/>
          <w:b/>
          <w:sz w:val="32"/>
          <w:szCs w:val="32"/>
        </w:rPr>
      </w:pPr>
    </w:p>
    <w:p>
      <w:pPr>
        <w:tabs>
          <w:tab w:val="left" w:pos="1227"/>
        </w:tabs>
        <w:jc w:val="center"/>
        <w:rPr>
          <w:rFonts w:ascii="宋体" w:hAnsi="宋体" w:cs="宋体"/>
          <w:b/>
          <w:sz w:val="32"/>
          <w:szCs w:val="32"/>
        </w:rPr>
      </w:pPr>
    </w:p>
    <w:p>
      <w:pPr>
        <w:tabs>
          <w:tab w:val="left" w:pos="1227"/>
        </w:tabs>
        <w:jc w:val="center"/>
        <w:rPr>
          <w:rFonts w:ascii="宋体" w:hAnsi="宋体" w:cs="宋体"/>
          <w:b/>
          <w:sz w:val="32"/>
          <w:szCs w:val="32"/>
        </w:rPr>
      </w:pPr>
    </w:p>
    <w:p>
      <w:pPr>
        <w:tabs>
          <w:tab w:val="left" w:pos="1227"/>
        </w:tabs>
        <w:jc w:val="center"/>
        <w:rPr>
          <w:rFonts w:ascii="宋体" w:hAnsi="宋体" w:cs="宋体"/>
          <w:b/>
          <w:sz w:val="32"/>
          <w:szCs w:val="32"/>
        </w:rPr>
      </w:pPr>
    </w:p>
    <w:p>
      <w:pPr>
        <w:pStyle w:val="11"/>
        <w:spacing w:after="0"/>
        <w:ind w:left="0" w:leftChars="0" w:firstLine="0" w:firstLineChars="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使用方：</w:t>
      </w:r>
      <w:r>
        <w:rPr>
          <w:rFonts w:hint="eastAsia" w:asciiTheme="minorEastAsia" w:hAnsiTheme="minorEastAsia" w:eastAsiaTheme="minorEastAsia" w:cstheme="minorEastAsia"/>
          <w:bCs/>
          <w:sz w:val="32"/>
          <w:szCs w:val="32"/>
        </w:rPr>
        <w:t>内蒙古神东天隆集团股份有限公司物业分公司</w:t>
      </w:r>
    </w:p>
    <w:p>
      <w:pPr>
        <w:jc w:val="center"/>
        <w:rPr>
          <w:sz w:val="32"/>
          <w:szCs w:val="32"/>
        </w:rPr>
      </w:pPr>
      <w:r>
        <w:rPr>
          <w:rFonts w:hint="eastAsia" w:asciiTheme="minorEastAsia" w:hAnsiTheme="minorEastAsia" w:eastAsiaTheme="minorEastAsia" w:cstheme="minorEastAsia"/>
          <w:b/>
          <w:bCs/>
          <w:sz w:val="32"/>
          <w:szCs w:val="32"/>
        </w:rPr>
        <w:t>审核方：</w:t>
      </w:r>
      <w:r>
        <w:rPr>
          <w:rFonts w:hint="eastAsia" w:asciiTheme="minorEastAsia" w:hAnsiTheme="minorEastAsia" w:eastAsiaTheme="minorEastAsia" w:cstheme="minorEastAsia"/>
          <w:sz w:val="32"/>
          <w:szCs w:val="32"/>
        </w:rPr>
        <w:t>内蒙古神东天隆集团股份有限公司</w:t>
      </w:r>
      <w:r>
        <w:rPr>
          <w:rFonts w:hint="eastAsia" w:asciiTheme="minorEastAsia" w:hAnsiTheme="minorEastAsia" w:eastAsiaTheme="minorEastAsia" w:cstheme="minorEastAsia"/>
          <w:sz w:val="32"/>
          <w:szCs w:val="32"/>
          <w:lang w:val="en-US" w:eastAsia="zh-CN"/>
        </w:rPr>
        <w:t>安全质量环保部</w:t>
      </w:r>
      <w:r>
        <w:rPr>
          <w:rFonts w:hint="eastAsia" w:asciiTheme="minorEastAsia" w:hAnsiTheme="minorEastAsia" w:eastAsiaTheme="minorEastAsia" w:cstheme="minorEastAsia"/>
          <w:szCs w:val="21"/>
        </w:rPr>
        <w:t xml:space="preserve">     </w:t>
      </w:r>
      <w:r>
        <w:rPr>
          <w:rFonts w:hint="eastAsia"/>
          <w:sz w:val="30"/>
          <w:szCs w:val="30"/>
        </w:rPr>
        <w:t xml:space="preserve">                                </w:t>
      </w:r>
      <w:r>
        <w:rPr>
          <w:rFonts w:hint="eastAsia"/>
          <w:sz w:val="32"/>
          <w:szCs w:val="32"/>
        </w:rPr>
        <w:t xml:space="preserve"> </w:t>
      </w:r>
    </w:p>
    <w:p>
      <w:pPr>
        <w:tabs>
          <w:tab w:val="left" w:pos="1227"/>
        </w:tabs>
        <w:jc w:val="center"/>
        <w:rPr>
          <w:rFonts w:ascii="宋体" w:hAnsi="宋体"/>
          <w:bCs/>
          <w:sz w:val="32"/>
          <w:szCs w:val="21"/>
        </w:rPr>
      </w:pPr>
      <w:r>
        <w:rPr>
          <w:rFonts w:ascii="宋体" w:hAnsi="宋体"/>
          <w:bCs/>
          <w:sz w:val="32"/>
          <w:szCs w:val="21"/>
        </w:rPr>
        <w:t>20</w:t>
      </w:r>
      <w:r>
        <w:rPr>
          <w:rFonts w:hint="eastAsia" w:ascii="宋体" w:hAnsi="宋体"/>
          <w:bCs/>
          <w:sz w:val="32"/>
          <w:szCs w:val="21"/>
        </w:rPr>
        <w:t>2</w:t>
      </w:r>
      <w:r>
        <w:rPr>
          <w:rFonts w:hint="eastAsia" w:ascii="宋体" w:hAnsi="宋体"/>
          <w:bCs/>
          <w:sz w:val="32"/>
          <w:szCs w:val="21"/>
          <w:lang w:val="en-US" w:eastAsia="zh-CN"/>
        </w:rPr>
        <w:t>3</w:t>
      </w:r>
      <w:r>
        <w:rPr>
          <w:rFonts w:ascii="宋体" w:hAnsi="宋体"/>
          <w:bCs/>
          <w:sz w:val="32"/>
          <w:szCs w:val="21"/>
        </w:rPr>
        <w:t>年</w:t>
      </w:r>
      <w:r>
        <w:rPr>
          <w:rFonts w:hint="eastAsia" w:ascii="宋体" w:hAnsi="宋体"/>
          <w:bCs/>
          <w:sz w:val="32"/>
          <w:szCs w:val="21"/>
          <w:lang w:val="en-US" w:eastAsia="zh-CN"/>
        </w:rPr>
        <w:t>6</w:t>
      </w:r>
      <w:r>
        <w:rPr>
          <w:rFonts w:ascii="宋体" w:hAnsi="宋体"/>
          <w:bCs/>
          <w:sz w:val="32"/>
          <w:szCs w:val="21"/>
        </w:rPr>
        <w:t>月</w:t>
      </w:r>
      <w:r>
        <w:rPr>
          <w:rFonts w:hint="eastAsia" w:ascii="宋体" w:hAnsi="宋体"/>
          <w:bCs/>
          <w:sz w:val="32"/>
          <w:szCs w:val="21"/>
          <w:lang w:val="en-US" w:eastAsia="zh-CN"/>
        </w:rPr>
        <w:t>14</w:t>
      </w:r>
      <w:r>
        <w:rPr>
          <w:rFonts w:ascii="宋体" w:hAnsi="宋体"/>
          <w:bCs/>
          <w:sz w:val="32"/>
          <w:szCs w:val="21"/>
        </w:rPr>
        <w:t>日</w:t>
      </w:r>
    </w:p>
    <w:p>
      <w:pPr>
        <w:rPr>
          <w:sz w:val="32"/>
          <w:szCs w:val="32"/>
        </w:rPr>
      </w:pPr>
    </w:p>
    <w:p>
      <w:pPr>
        <w:jc w:val="center"/>
        <w:rPr>
          <w:rFonts w:ascii="宋体" w:hAnsi="宋体" w:cs="宋体"/>
          <w:sz w:val="32"/>
          <w:szCs w:val="32"/>
        </w:rPr>
        <w:sectPr>
          <w:footerReference r:id="rId3" w:type="default"/>
          <w:pgSz w:w="11906" w:h="16838"/>
          <w:pgMar w:top="1440" w:right="1800" w:bottom="1440" w:left="1800" w:header="851" w:footer="992" w:gutter="0"/>
          <w:cols w:space="425" w:num="1"/>
          <w:docGrid w:type="lines" w:linePitch="312" w:charSpace="0"/>
        </w:sectPr>
      </w:pPr>
    </w:p>
    <w:p>
      <w:pPr>
        <w:jc w:val="right"/>
        <w:rPr>
          <w:rFonts w:hint="eastAsia" w:eastAsia="黑体"/>
          <w:sz w:val="32"/>
          <w:szCs w:val="32"/>
          <w:lang w:eastAsia="zh-CN"/>
        </w:rPr>
      </w:pPr>
      <w:r>
        <w:rPr>
          <w:rFonts w:hint="eastAsia" w:ascii="黑体" w:hAnsi="黑体" w:eastAsia="黑体" w:cs="黑体"/>
          <w:b/>
          <w:bCs/>
          <w:sz w:val="32"/>
          <w:szCs w:val="32"/>
        </w:rPr>
        <w:t>编号：WY-202</w:t>
      </w:r>
      <w:r>
        <w:rPr>
          <w:rFonts w:hint="eastAsia" w:ascii="黑体" w:hAnsi="黑体" w:eastAsia="黑体" w:cs="黑体"/>
          <w:b/>
          <w:bCs/>
          <w:sz w:val="32"/>
          <w:szCs w:val="32"/>
          <w:lang w:val="en-US" w:eastAsia="zh-CN"/>
        </w:rPr>
        <w:t>3</w:t>
      </w:r>
      <w:r>
        <w:rPr>
          <w:rFonts w:hint="eastAsia" w:ascii="黑体" w:hAnsi="黑体" w:eastAsia="黑体" w:cs="黑体"/>
          <w:b/>
          <w:bCs/>
          <w:sz w:val="32"/>
          <w:szCs w:val="32"/>
        </w:rPr>
        <w:t>-ZX-00</w:t>
      </w:r>
      <w:r>
        <w:rPr>
          <w:rFonts w:hint="eastAsia" w:ascii="黑体" w:hAnsi="黑体" w:eastAsia="黑体" w:cs="黑体"/>
          <w:b/>
          <w:bCs/>
          <w:sz w:val="32"/>
          <w:szCs w:val="32"/>
          <w:lang w:val="en-US" w:eastAsia="zh-CN"/>
        </w:rPr>
        <w:t>2</w:t>
      </w:r>
    </w:p>
    <w:p>
      <w:pPr>
        <w:spacing w:beforeLines="100" w:afterLines="100"/>
        <w:jc w:val="center"/>
        <w:rPr>
          <w:rFonts w:asciiTheme="majorEastAsia" w:hAnsiTheme="majorEastAsia" w:eastAsiaTheme="majorEastAsia" w:cstheme="majorEastAsia"/>
          <w:sz w:val="36"/>
          <w:szCs w:val="36"/>
        </w:rPr>
      </w:pPr>
      <w:r>
        <w:rPr>
          <w:rFonts w:hint="eastAsia" w:asciiTheme="majorEastAsia" w:hAnsiTheme="majorEastAsia" w:eastAsiaTheme="majorEastAsia" w:cstheme="majorEastAsia"/>
          <w:b/>
          <w:bCs/>
          <w:sz w:val="36"/>
          <w:szCs w:val="36"/>
        </w:rPr>
        <w:t>技 术 要 求</w:t>
      </w:r>
    </w:p>
    <w:p>
      <w:pPr>
        <w:pStyle w:val="11"/>
        <w:spacing w:after="0"/>
        <w:ind w:left="0" w:leftChars="0" w:firstLine="0" w:firstLineChars="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使用方：</w:t>
      </w:r>
      <w:r>
        <w:rPr>
          <w:rFonts w:hint="eastAsia" w:asciiTheme="minorEastAsia" w:hAnsiTheme="minorEastAsia" w:eastAsiaTheme="minorEastAsia" w:cstheme="minorEastAsia"/>
          <w:bCs/>
          <w:sz w:val="32"/>
          <w:szCs w:val="32"/>
        </w:rPr>
        <w:t>内蒙古神东天隆集团股份有限公司物业分公司</w:t>
      </w:r>
    </w:p>
    <w:p>
      <w:pPr>
        <w:pStyle w:val="11"/>
        <w:spacing w:after="0"/>
        <w:ind w:left="0" w:leftChars="0"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 w:val="32"/>
          <w:szCs w:val="32"/>
        </w:rPr>
        <w:t>审核方：内蒙古神东天隆集团股份有限公司</w:t>
      </w:r>
      <w:r>
        <w:rPr>
          <w:rFonts w:hint="eastAsia" w:asciiTheme="minorEastAsia" w:hAnsiTheme="minorEastAsia" w:eastAsiaTheme="minorEastAsia" w:cstheme="minorEastAsia"/>
          <w:sz w:val="32"/>
          <w:szCs w:val="32"/>
          <w:lang w:val="en-US" w:eastAsia="zh-CN"/>
        </w:rPr>
        <w:t>安全质量环保部</w:t>
      </w:r>
      <w:r>
        <w:rPr>
          <w:rFonts w:hint="eastAsia" w:asciiTheme="minorEastAsia" w:hAnsiTheme="minorEastAsia" w:eastAsiaTheme="minorEastAsia" w:cstheme="minorEastAsia"/>
          <w:szCs w:val="21"/>
        </w:rPr>
        <w:t xml:space="preserve">               </w:t>
      </w:r>
    </w:p>
    <w:p>
      <w:pPr>
        <w:pStyle w:val="15"/>
        <w:ind w:firstLine="643"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一、基本信息：</w:t>
      </w:r>
    </w:p>
    <w:tbl>
      <w:tblPr>
        <w:tblStyle w:val="12"/>
        <w:tblW w:w="9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2287"/>
        <w:gridCol w:w="552"/>
        <w:gridCol w:w="548"/>
        <w:gridCol w:w="1454"/>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966" w:type="dxa"/>
            <w:vAlign w:val="center"/>
          </w:tcPr>
          <w:p>
            <w:pPr>
              <w:ind w:right="-63" w:rightChars="-3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w:t>
            </w:r>
          </w:p>
        </w:tc>
        <w:tc>
          <w:tcPr>
            <w:tcW w:w="2287"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规格型号</w:t>
            </w:r>
          </w:p>
        </w:tc>
        <w:tc>
          <w:tcPr>
            <w:tcW w:w="552"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位</w:t>
            </w:r>
          </w:p>
        </w:tc>
        <w:tc>
          <w:tcPr>
            <w:tcW w:w="548"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量</w:t>
            </w:r>
          </w:p>
        </w:tc>
        <w:tc>
          <w:tcPr>
            <w:tcW w:w="1454"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资金来源</w:t>
            </w:r>
          </w:p>
        </w:tc>
        <w:tc>
          <w:tcPr>
            <w:tcW w:w="266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交（提）货</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时间及地点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966" w:type="dxa"/>
            <w:vAlign w:val="center"/>
          </w:tcPr>
          <w:p>
            <w:pPr>
              <w:widowControl/>
              <w:spacing w:line="560" w:lineRule="exact"/>
              <w:jc w:val="center"/>
              <w:textAlignment w:val="center"/>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水基型灭火器</w:t>
            </w:r>
          </w:p>
        </w:tc>
        <w:tc>
          <w:tcPr>
            <w:tcW w:w="2287" w:type="dxa"/>
            <w:vAlign w:val="center"/>
          </w:tcPr>
          <w:p>
            <w:pPr>
              <w:widowControl/>
              <w:numPr>
                <w:ilvl w:val="0"/>
                <w:numId w:val="0"/>
              </w:numPr>
              <w:spacing w:line="560" w:lineRule="exact"/>
              <w:ind w:leftChars="0"/>
              <w:jc w:val="left"/>
              <w:textAlignment w:val="center"/>
              <w:rPr>
                <w:rFonts w:hint="default" w:eastAsia="宋体"/>
                <w:lang w:val="en-US" w:eastAsia="zh-CN"/>
              </w:rPr>
            </w:pPr>
            <w:r>
              <w:rPr>
                <w:rFonts w:hint="eastAsia"/>
                <w:lang w:val="en-US" w:eastAsia="zh-CN"/>
              </w:rPr>
              <w:t>每具灭火器4kg</w:t>
            </w:r>
          </w:p>
        </w:tc>
        <w:tc>
          <w:tcPr>
            <w:tcW w:w="552" w:type="dxa"/>
            <w:vAlign w:val="center"/>
          </w:tcPr>
          <w:p>
            <w:pPr>
              <w:widowControl/>
              <w:jc w:val="center"/>
              <w:textAlignment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386</w:t>
            </w:r>
          </w:p>
        </w:tc>
        <w:tc>
          <w:tcPr>
            <w:tcW w:w="548" w:type="dxa"/>
            <w:vAlign w:val="center"/>
          </w:tcPr>
          <w:p>
            <w:pPr>
              <w:widowControl/>
              <w:jc w:val="center"/>
              <w:textAlignment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具</w:t>
            </w:r>
          </w:p>
        </w:tc>
        <w:tc>
          <w:tcPr>
            <w:tcW w:w="1454" w:type="dxa"/>
            <w:vAlign w:val="center"/>
          </w:tcPr>
          <w:p>
            <w:pPr>
              <w:adjustRightInd w:val="0"/>
              <w:snapToGrid w:val="0"/>
              <w:spacing w:line="320" w:lineRule="exact"/>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专项</w:t>
            </w:r>
          </w:p>
        </w:tc>
        <w:tc>
          <w:tcPr>
            <w:tcW w:w="2663" w:type="dxa"/>
            <w:vAlign w:val="center"/>
          </w:tcPr>
          <w:p>
            <w:pPr>
              <w:adjustRightInd w:val="0"/>
              <w:snapToGrid w:val="0"/>
              <w:spacing w:line="32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伊旗天隆大厦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966" w:type="dxa"/>
            <w:vAlign w:val="center"/>
          </w:tcPr>
          <w:p>
            <w:pPr>
              <w:widowControl/>
              <w:spacing w:line="560" w:lineRule="exact"/>
              <w:jc w:val="center"/>
              <w:textAlignment w:val="center"/>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消防水带</w:t>
            </w:r>
          </w:p>
        </w:tc>
        <w:tc>
          <w:tcPr>
            <w:tcW w:w="2287" w:type="dxa"/>
            <w:vAlign w:val="center"/>
          </w:tcPr>
          <w:p>
            <w:pPr>
              <w:widowControl/>
              <w:numPr>
                <w:ilvl w:val="0"/>
                <w:numId w:val="0"/>
              </w:numPr>
              <w:spacing w:line="560" w:lineRule="exact"/>
              <w:ind w:leftChars="0"/>
              <w:jc w:val="left"/>
              <w:textAlignment w:val="center"/>
              <w:rPr>
                <w:rFonts w:hint="eastAsia" w:eastAsia="宋体"/>
                <w:lang w:eastAsia="zh-CN"/>
              </w:rPr>
            </w:pPr>
            <w:r>
              <w:rPr>
                <w:rFonts w:hint="eastAsia"/>
                <w:lang w:val="en-US" w:eastAsia="zh-CN"/>
              </w:rPr>
              <w:t>1.每条消防水带25米2.直径65</w:t>
            </w:r>
          </w:p>
        </w:tc>
        <w:tc>
          <w:tcPr>
            <w:tcW w:w="552" w:type="dxa"/>
            <w:vAlign w:val="center"/>
          </w:tcPr>
          <w:p>
            <w:pPr>
              <w:widowControl/>
              <w:jc w:val="center"/>
              <w:textAlignment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160</w:t>
            </w:r>
          </w:p>
        </w:tc>
        <w:tc>
          <w:tcPr>
            <w:tcW w:w="548" w:type="dxa"/>
            <w:vAlign w:val="center"/>
          </w:tcPr>
          <w:p>
            <w:pPr>
              <w:widowControl/>
              <w:jc w:val="center"/>
              <w:textAlignment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具</w:t>
            </w:r>
          </w:p>
        </w:tc>
        <w:tc>
          <w:tcPr>
            <w:tcW w:w="1454" w:type="dxa"/>
            <w:vAlign w:val="center"/>
          </w:tcPr>
          <w:p>
            <w:pPr>
              <w:adjustRightInd w:val="0"/>
              <w:snapToGrid w:val="0"/>
              <w:spacing w:line="32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专项</w:t>
            </w:r>
          </w:p>
        </w:tc>
        <w:tc>
          <w:tcPr>
            <w:tcW w:w="2663" w:type="dxa"/>
            <w:vAlign w:val="center"/>
          </w:tcPr>
          <w:p>
            <w:pPr>
              <w:adjustRightInd w:val="0"/>
              <w:snapToGrid w:val="0"/>
              <w:spacing w:line="32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伊旗天隆大厦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966" w:type="dxa"/>
            <w:vAlign w:val="center"/>
          </w:tcPr>
          <w:p>
            <w:pPr>
              <w:widowControl/>
              <w:spacing w:line="560" w:lineRule="exact"/>
              <w:jc w:val="center"/>
              <w:textAlignment w:val="center"/>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消防卷盘软管</w:t>
            </w:r>
          </w:p>
        </w:tc>
        <w:tc>
          <w:tcPr>
            <w:tcW w:w="2287" w:type="dxa"/>
            <w:vAlign w:val="center"/>
          </w:tcPr>
          <w:p>
            <w:pPr>
              <w:widowControl/>
              <w:numPr>
                <w:ilvl w:val="0"/>
                <w:numId w:val="0"/>
              </w:numPr>
              <w:spacing w:line="560" w:lineRule="exact"/>
              <w:ind w:leftChars="0"/>
              <w:jc w:val="left"/>
              <w:textAlignment w:val="center"/>
              <w:rPr>
                <w:rFonts w:hint="eastAsia"/>
              </w:rPr>
            </w:pPr>
            <w:r>
              <w:rPr>
                <w:rFonts w:hint="eastAsia"/>
              </w:rPr>
              <w:t>消防卷盘软管25米</w:t>
            </w:r>
          </w:p>
          <w:p>
            <w:pPr>
              <w:widowControl/>
              <w:numPr>
                <w:ilvl w:val="0"/>
                <w:numId w:val="0"/>
              </w:numPr>
              <w:spacing w:line="560" w:lineRule="exact"/>
              <w:ind w:leftChars="0"/>
              <w:jc w:val="left"/>
              <w:textAlignment w:val="center"/>
              <w:rPr>
                <w:rFonts w:hint="default"/>
                <w:lang w:val="en-US" w:eastAsia="zh-CN"/>
              </w:rPr>
            </w:pPr>
            <w:r>
              <w:rPr>
                <w:rFonts w:hint="eastAsia"/>
                <w:lang w:val="en-US" w:eastAsia="zh-CN"/>
              </w:rPr>
              <w:t>型号：JPS0.8-19/25</w:t>
            </w:r>
          </w:p>
          <w:p>
            <w:pPr>
              <w:pStyle w:val="2"/>
            </w:pPr>
          </w:p>
        </w:tc>
        <w:tc>
          <w:tcPr>
            <w:tcW w:w="552" w:type="dxa"/>
            <w:vAlign w:val="center"/>
          </w:tcPr>
          <w:p>
            <w:pPr>
              <w:widowControl/>
              <w:jc w:val="center"/>
              <w:textAlignment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160</w:t>
            </w:r>
          </w:p>
        </w:tc>
        <w:tc>
          <w:tcPr>
            <w:tcW w:w="548" w:type="dxa"/>
            <w:vAlign w:val="center"/>
          </w:tcPr>
          <w:p>
            <w:pPr>
              <w:widowControl/>
              <w:jc w:val="center"/>
              <w:textAlignment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个</w:t>
            </w:r>
          </w:p>
        </w:tc>
        <w:tc>
          <w:tcPr>
            <w:tcW w:w="1454" w:type="dxa"/>
            <w:vAlign w:val="center"/>
          </w:tcPr>
          <w:p>
            <w:pPr>
              <w:adjustRightInd w:val="0"/>
              <w:snapToGrid w:val="0"/>
              <w:spacing w:line="32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专项</w:t>
            </w:r>
          </w:p>
        </w:tc>
        <w:tc>
          <w:tcPr>
            <w:tcW w:w="2663" w:type="dxa"/>
            <w:vAlign w:val="center"/>
          </w:tcPr>
          <w:p>
            <w:pPr>
              <w:adjustRightInd w:val="0"/>
              <w:snapToGrid w:val="0"/>
              <w:spacing w:line="32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伊旗天隆大厦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966" w:type="dxa"/>
            <w:vAlign w:val="center"/>
          </w:tcPr>
          <w:p>
            <w:pPr>
              <w:widowControl/>
              <w:spacing w:line="560" w:lineRule="exact"/>
              <w:jc w:val="center"/>
              <w:textAlignment w:val="center"/>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消防应急照明灯</w:t>
            </w:r>
          </w:p>
        </w:tc>
        <w:tc>
          <w:tcPr>
            <w:tcW w:w="2287" w:type="dxa"/>
            <w:vAlign w:val="center"/>
          </w:tcPr>
          <w:p>
            <w:pPr>
              <w:widowControl/>
              <w:numPr>
                <w:ilvl w:val="0"/>
                <w:numId w:val="0"/>
              </w:numPr>
              <w:spacing w:line="560" w:lineRule="exact"/>
              <w:ind w:leftChars="0"/>
              <w:jc w:val="left"/>
              <w:textAlignment w:val="center"/>
            </w:pPr>
            <w:r>
              <w:rPr>
                <w:rFonts w:hint="eastAsia"/>
                <w:lang w:val="en-US" w:eastAsia="zh-CN"/>
              </w:rPr>
              <w:t>新国标，应急</w:t>
            </w:r>
            <w:r>
              <w:rPr>
                <w:rFonts w:hint="eastAsia"/>
              </w:rPr>
              <w:t>照明时间</w:t>
            </w:r>
            <w:r>
              <w:rPr>
                <w:rFonts w:hint="eastAsia"/>
                <w:lang w:val="en-US" w:eastAsia="zh-CN"/>
              </w:rPr>
              <w:t>≥</w:t>
            </w:r>
            <w:r>
              <w:rPr>
                <w:rFonts w:hint="eastAsia"/>
              </w:rPr>
              <w:t xml:space="preserve">90分钟  </w:t>
            </w:r>
          </w:p>
        </w:tc>
        <w:tc>
          <w:tcPr>
            <w:tcW w:w="552" w:type="dxa"/>
            <w:vAlign w:val="center"/>
          </w:tcPr>
          <w:p>
            <w:pPr>
              <w:widowControl/>
              <w:jc w:val="center"/>
              <w:textAlignment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66</w:t>
            </w:r>
          </w:p>
        </w:tc>
        <w:tc>
          <w:tcPr>
            <w:tcW w:w="548" w:type="dxa"/>
            <w:vAlign w:val="center"/>
          </w:tcPr>
          <w:p>
            <w:pPr>
              <w:widowControl/>
              <w:jc w:val="center"/>
              <w:textAlignment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个</w:t>
            </w:r>
          </w:p>
        </w:tc>
        <w:tc>
          <w:tcPr>
            <w:tcW w:w="1454" w:type="dxa"/>
            <w:vAlign w:val="center"/>
          </w:tcPr>
          <w:p>
            <w:pPr>
              <w:adjustRightInd w:val="0"/>
              <w:snapToGrid w:val="0"/>
              <w:spacing w:line="32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专项</w:t>
            </w:r>
          </w:p>
        </w:tc>
        <w:tc>
          <w:tcPr>
            <w:tcW w:w="2663" w:type="dxa"/>
            <w:vAlign w:val="center"/>
          </w:tcPr>
          <w:p>
            <w:pPr>
              <w:adjustRightInd w:val="0"/>
              <w:snapToGrid w:val="0"/>
              <w:spacing w:line="320" w:lineRule="exact"/>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伊旗天隆大厦</w:t>
            </w:r>
          </w:p>
        </w:tc>
      </w:tr>
    </w:tbl>
    <w:p>
      <w:pPr>
        <w:rPr>
          <w:rFonts w:asciiTheme="minorEastAsia" w:hAnsiTheme="minorEastAsia" w:eastAsiaTheme="minorEastAsia" w:cstheme="minorEastAsia"/>
          <w:vanish/>
        </w:rPr>
      </w:pPr>
    </w:p>
    <w:p>
      <w:pPr>
        <w:numPr>
          <w:ilvl w:val="0"/>
          <w:numId w:val="1"/>
        </w:numPr>
        <w:ind w:firstLine="643"/>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基本参数：</w:t>
      </w:r>
    </w:p>
    <w:p>
      <w:pPr>
        <w:pStyle w:val="2"/>
        <w:numPr>
          <w:ilvl w:val="0"/>
          <w:numId w:val="0"/>
        </w:numPr>
        <w:ind w:firstLine="600" w:firstLineChars="200"/>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（一）</w:t>
      </w:r>
      <w:r>
        <w:rPr>
          <w:rFonts w:hint="default" w:ascii="仿宋" w:hAnsi="仿宋" w:eastAsia="仿宋" w:cs="仿宋"/>
          <w:kern w:val="2"/>
          <w:sz w:val="30"/>
          <w:szCs w:val="30"/>
          <w:lang w:val="en-US" w:eastAsia="zh-CN" w:bidi="ar-SA"/>
        </w:rPr>
        <w:t>水基型灭火器</w:t>
      </w:r>
    </w:p>
    <w:p>
      <w:pPr>
        <w:pStyle w:val="2"/>
        <w:numPr>
          <w:ilvl w:val="0"/>
          <w:numId w:val="0"/>
        </w:numPr>
        <w:ind w:firstLine="900" w:firstLineChars="3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1.手提式水基型灭火器</w:t>
      </w:r>
    </w:p>
    <w:p>
      <w:pPr>
        <w:pStyle w:val="2"/>
        <w:numPr>
          <w:ilvl w:val="0"/>
          <w:numId w:val="0"/>
        </w:numPr>
        <w:ind w:firstLine="900" w:firstLineChars="300"/>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2.型号：MSZ/3L或HX一3L</w:t>
      </w:r>
    </w:p>
    <w:p>
      <w:pPr>
        <w:pStyle w:val="2"/>
        <w:numPr>
          <w:ilvl w:val="0"/>
          <w:numId w:val="0"/>
        </w:numPr>
        <w:ind w:firstLine="900" w:firstLineChars="300"/>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3.规格：4kg/具</w:t>
      </w:r>
    </w:p>
    <w:p>
      <w:pPr>
        <w:pStyle w:val="2"/>
        <w:numPr>
          <w:ilvl w:val="0"/>
          <w:numId w:val="0"/>
        </w:numPr>
        <w:ind w:firstLine="600" w:firstLineChars="200"/>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（二）</w:t>
      </w:r>
      <w:r>
        <w:rPr>
          <w:rFonts w:hint="default" w:ascii="仿宋" w:hAnsi="仿宋" w:eastAsia="仿宋" w:cs="仿宋"/>
          <w:kern w:val="2"/>
          <w:sz w:val="30"/>
          <w:szCs w:val="30"/>
          <w:lang w:val="en-US" w:eastAsia="zh-CN" w:bidi="ar-SA"/>
        </w:rPr>
        <w:t>消防水</w:t>
      </w:r>
      <w:r>
        <w:rPr>
          <w:rFonts w:hint="eastAsia" w:ascii="仿宋" w:hAnsi="仿宋" w:eastAsia="仿宋" w:cs="仿宋"/>
          <w:kern w:val="2"/>
          <w:sz w:val="30"/>
          <w:szCs w:val="30"/>
          <w:lang w:val="en-US" w:eastAsia="zh-CN" w:bidi="ar-SA"/>
        </w:rPr>
        <w:t>带</w:t>
      </w:r>
    </w:p>
    <w:p>
      <w:pPr>
        <w:pStyle w:val="2"/>
        <w:numPr>
          <w:ilvl w:val="0"/>
          <w:numId w:val="0"/>
        </w:numPr>
        <w:ind w:firstLine="900" w:firstLineChars="3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1.25米/卷</w:t>
      </w:r>
    </w:p>
    <w:p>
      <w:pPr>
        <w:numPr>
          <w:ilvl w:val="0"/>
          <w:numId w:val="2"/>
        </w:numPr>
        <w:ind w:firstLine="900" w:firstLineChars="3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消防水带两端带金属接头</w:t>
      </w:r>
    </w:p>
    <w:p>
      <w:pPr>
        <w:numPr>
          <w:ilvl w:val="0"/>
          <w:numId w:val="2"/>
        </w:numPr>
        <w:ind w:firstLine="900" w:firstLineChars="3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每盘消防水带含1个水枪头</w:t>
      </w:r>
    </w:p>
    <w:p>
      <w:pPr>
        <w:numPr>
          <w:ilvl w:val="0"/>
          <w:numId w:val="2"/>
        </w:numPr>
        <w:ind w:left="0" w:leftChars="0" w:firstLine="900" w:firstLineChars="3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直径65</w:t>
      </w:r>
    </w:p>
    <w:p>
      <w:pPr>
        <w:pStyle w:val="2"/>
        <w:numPr>
          <w:ilvl w:val="0"/>
          <w:numId w:val="0"/>
        </w:numPr>
        <w:ind w:firstLine="900" w:firstLineChars="300"/>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5.材质：聚氨酯等聚合材料制成</w:t>
      </w:r>
    </w:p>
    <w:p>
      <w:pPr>
        <w:pStyle w:val="2"/>
        <w:numPr>
          <w:ilvl w:val="0"/>
          <w:numId w:val="0"/>
        </w:numPr>
        <w:ind w:firstLine="600" w:firstLineChars="200"/>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（三）</w:t>
      </w:r>
      <w:r>
        <w:rPr>
          <w:rFonts w:hint="default" w:ascii="仿宋" w:hAnsi="仿宋" w:eastAsia="仿宋" w:cs="仿宋"/>
          <w:kern w:val="2"/>
          <w:sz w:val="30"/>
          <w:szCs w:val="30"/>
          <w:lang w:val="en-US" w:eastAsia="zh-CN" w:bidi="ar-SA"/>
        </w:rPr>
        <w:t>消防卷盘软管</w:t>
      </w:r>
    </w:p>
    <w:p>
      <w:pPr>
        <w:pStyle w:val="2"/>
        <w:numPr>
          <w:ilvl w:val="0"/>
          <w:numId w:val="0"/>
        </w:numPr>
        <w:ind w:firstLine="900" w:firstLineChars="300"/>
        <w:rPr>
          <w:rFonts w:hint="eastAsia" w:ascii="仿宋" w:hAnsi="仿宋" w:eastAsia="仿宋" w:cs="仿宋"/>
          <w:kern w:val="2"/>
          <w:sz w:val="30"/>
          <w:szCs w:val="30"/>
          <w:lang w:val="en-US" w:eastAsia="zh-CN" w:bidi="ar-SA"/>
        </w:rPr>
      </w:pPr>
      <w:r>
        <w:rPr>
          <w:rFonts w:hint="default" w:ascii="仿宋" w:hAnsi="仿宋" w:eastAsia="仿宋" w:cs="仿宋"/>
          <w:kern w:val="2"/>
          <w:sz w:val="30"/>
          <w:szCs w:val="30"/>
          <w:lang w:val="en-US" w:eastAsia="zh-CN" w:bidi="ar-SA"/>
        </w:rPr>
        <w:t>1.消防卷盘软管25米</w:t>
      </w:r>
      <w:r>
        <w:rPr>
          <w:rFonts w:hint="eastAsia" w:ascii="仿宋" w:hAnsi="仿宋" w:eastAsia="仿宋" w:cs="仿宋"/>
          <w:kern w:val="2"/>
          <w:sz w:val="30"/>
          <w:szCs w:val="30"/>
          <w:lang w:val="en-US" w:eastAsia="zh-CN" w:bidi="ar-SA"/>
        </w:rPr>
        <w:t>/盘</w:t>
      </w:r>
    </w:p>
    <w:p>
      <w:pPr>
        <w:ind w:firstLine="900" w:firstLineChars="300"/>
        <w:rPr>
          <w:rFonts w:hint="default"/>
          <w:lang w:val="en-US" w:eastAsia="zh-CN"/>
        </w:rPr>
      </w:pPr>
      <w:r>
        <w:rPr>
          <w:rFonts w:hint="eastAsia" w:ascii="仿宋" w:hAnsi="仿宋" w:eastAsia="仿宋" w:cs="仿宋"/>
          <w:kern w:val="2"/>
          <w:sz w:val="30"/>
          <w:szCs w:val="30"/>
          <w:lang w:val="en-US" w:eastAsia="zh-CN" w:bidi="ar-SA"/>
        </w:rPr>
        <w:t>2.型号：JPS0.8-19/25</w:t>
      </w:r>
    </w:p>
    <w:p>
      <w:pPr>
        <w:pStyle w:val="2"/>
        <w:numPr>
          <w:ilvl w:val="0"/>
          <w:numId w:val="0"/>
        </w:numPr>
        <w:ind w:firstLine="600" w:firstLineChars="200"/>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（四）</w:t>
      </w:r>
      <w:r>
        <w:rPr>
          <w:rFonts w:hint="default" w:ascii="仿宋" w:hAnsi="仿宋" w:eastAsia="仿宋" w:cs="仿宋"/>
          <w:kern w:val="2"/>
          <w:sz w:val="30"/>
          <w:szCs w:val="30"/>
          <w:lang w:val="en-US" w:eastAsia="zh-CN" w:bidi="ar-SA"/>
        </w:rPr>
        <w:t>消防应急照明灯</w:t>
      </w:r>
    </w:p>
    <w:p>
      <w:pPr>
        <w:pStyle w:val="2"/>
        <w:numPr>
          <w:ilvl w:val="0"/>
          <w:numId w:val="0"/>
        </w:numPr>
        <w:ind w:firstLine="900" w:firstLineChars="3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1.应急照明时间需≥90分钟 </w:t>
      </w:r>
    </w:p>
    <w:p>
      <w:pPr>
        <w:ind w:firstLine="900" w:firstLineChars="300"/>
        <w:rPr>
          <w:rFonts w:hint="default"/>
          <w:lang w:val="en-US" w:eastAsia="zh-CN"/>
        </w:rPr>
      </w:pPr>
      <w:r>
        <w:rPr>
          <w:rFonts w:hint="eastAsia" w:ascii="仿宋" w:hAnsi="仿宋" w:eastAsia="仿宋" w:cs="仿宋"/>
          <w:kern w:val="2"/>
          <w:sz w:val="30"/>
          <w:szCs w:val="30"/>
          <w:lang w:val="en-US" w:eastAsia="zh-CN" w:bidi="ar-SA"/>
        </w:rPr>
        <w:t>2.符合新国标</w:t>
      </w:r>
    </w:p>
    <w:p>
      <w:pPr>
        <w:spacing w:line="520" w:lineRule="exact"/>
        <w:ind w:firstLine="803" w:firstLineChars="250"/>
        <w:rPr>
          <w:rFonts w:ascii="宋体" w:hAnsi="宋体" w:eastAsia="宋体" w:cs="宋体"/>
          <w:sz w:val="24"/>
        </w:rPr>
      </w:pPr>
      <w:r>
        <w:rPr>
          <w:rFonts w:hint="eastAsia" w:asciiTheme="minorEastAsia" w:hAnsiTheme="minorEastAsia" w:eastAsiaTheme="minorEastAsia" w:cstheme="minorEastAsia"/>
          <w:b/>
          <w:bCs/>
          <w:sz w:val="32"/>
          <w:szCs w:val="32"/>
        </w:rPr>
        <w:t>三、基本要求：</w:t>
      </w:r>
    </w:p>
    <w:p>
      <w:pPr>
        <w:pStyle w:val="2"/>
        <w:numPr>
          <w:ilvl w:val="0"/>
          <w:numId w:val="0"/>
        </w:numPr>
        <w:ind w:firstLine="900" w:firstLineChars="3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1.购置的设备均需符合国家标准、行业标准，有消防资质、产品合格证，保证当地消防部门验收合格。</w:t>
      </w:r>
    </w:p>
    <w:p>
      <w:pPr>
        <w:pStyle w:val="2"/>
        <w:numPr>
          <w:ilvl w:val="0"/>
          <w:numId w:val="0"/>
        </w:numPr>
        <w:ind w:firstLine="900" w:firstLineChars="3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2.有售后保障。</w:t>
      </w:r>
    </w:p>
    <w:p>
      <w:pPr>
        <w:spacing w:line="520" w:lineRule="exact"/>
        <w:ind w:firstLine="803" w:firstLineChars="25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四、其他或环境要求：</w:t>
      </w:r>
    </w:p>
    <w:p>
      <w:pPr>
        <w:pStyle w:val="11"/>
        <w:ind w:left="0" w:leftChars="0" w:firstLine="450" w:firstLineChars="150"/>
        <w:rPr>
          <w:rFonts w:hint="eastAsia" w:ascii="仿宋" w:hAnsi="仿宋" w:eastAsia="仿宋"/>
          <w:sz w:val="30"/>
          <w:szCs w:val="30"/>
          <w:lang w:val="en-US" w:eastAsia="zh-CN"/>
        </w:rPr>
      </w:pPr>
      <w:r>
        <w:rPr>
          <w:rFonts w:hint="eastAsia" w:ascii="仿宋" w:hAnsi="仿宋" w:eastAsia="仿宋"/>
          <w:sz w:val="30"/>
          <w:szCs w:val="30"/>
          <w:lang w:val="en-US" w:eastAsia="zh-CN"/>
        </w:rPr>
        <w:t>（一）消防设施的运输、卸车、安装、调试、技术指导均由乙方负责；</w:t>
      </w:r>
    </w:p>
    <w:p>
      <w:pPr>
        <w:pStyle w:val="11"/>
        <w:ind w:left="0" w:leftChars="0" w:firstLine="450" w:firstLineChars="150"/>
        <w:rPr>
          <w:rFonts w:hint="eastAsia" w:ascii="仿宋" w:hAnsi="仿宋" w:eastAsia="仿宋"/>
          <w:sz w:val="30"/>
          <w:szCs w:val="30"/>
          <w:lang w:val="en-US" w:eastAsia="zh-CN"/>
        </w:rPr>
      </w:pPr>
      <w:r>
        <w:rPr>
          <w:rFonts w:hint="eastAsia" w:ascii="仿宋" w:hAnsi="仿宋" w:eastAsia="仿宋"/>
          <w:sz w:val="30"/>
          <w:szCs w:val="30"/>
          <w:lang w:val="en-US" w:eastAsia="zh-CN"/>
        </w:rPr>
        <w:t>（二）到货安装更换前，乙方应通知采购方、甲方及有关部门进行到货验收；安装更换后进行竣工验收；</w:t>
      </w:r>
    </w:p>
    <w:p>
      <w:pPr>
        <w:pStyle w:val="11"/>
        <w:ind w:left="0" w:leftChars="0" w:firstLine="450" w:firstLineChars="150"/>
        <w:rPr>
          <w:rFonts w:hint="eastAsia" w:ascii="仿宋" w:hAnsi="仿宋" w:eastAsia="仿宋"/>
          <w:sz w:val="30"/>
          <w:szCs w:val="30"/>
          <w:lang w:val="en-US" w:eastAsia="zh-CN"/>
        </w:rPr>
      </w:pPr>
      <w:r>
        <w:rPr>
          <w:rFonts w:hint="eastAsia" w:ascii="仿宋" w:hAnsi="仿宋" w:eastAsia="仿宋"/>
          <w:sz w:val="30"/>
          <w:szCs w:val="30"/>
          <w:lang w:val="en-US" w:eastAsia="zh-CN"/>
        </w:rPr>
        <w:t>（三）消防设施到货安装更换前，乙方要按照甲方要求办理开工报告及安全组织措施等手续后方可施工；</w:t>
      </w:r>
    </w:p>
    <w:p>
      <w:pPr>
        <w:pStyle w:val="11"/>
        <w:ind w:left="0" w:leftChars="0" w:firstLine="450" w:firstLineChars="150"/>
        <w:rPr>
          <w:rFonts w:hint="eastAsia" w:ascii="仿宋" w:hAnsi="仿宋" w:eastAsia="仿宋"/>
          <w:sz w:val="30"/>
          <w:szCs w:val="30"/>
          <w:lang w:val="en-US" w:eastAsia="zh-CN"/>
        </w:rPr>
      </w:pPr>
      <w:r>
        <w:rPr>
          <w:rFonts w:hint="eastAsia" w:ascii="仿宋" w:hAnsi="仿宋" w:eastAsia="仿宋"/>
          <w:sz w:val="30"/>
          <w:szCs w:val="30"/>
          <w:lang w:val="en-US" w:eastAsia="zh-CN"/>
        </w:rPr>
        <w:t>（四）乙方需提供消防设施的合格证明及相关资料（包括电子版）各1套；</w:t>
      </w:r>
    </w:p>
    <w:p>
      <w:pPr>
        <w:pStyle w:val="11"/>
        <w:ind w:left="0" w:leftChars="0" w:firstLine="450" w:firstLineChars="150"/>
        <w:rPr>
          <w:rFonts w:hint="eastAsia" w:ascii="仿宋" w:hAnsi="仿宋" w:eastAsia="仿宋"/>
          <w:sz w:val="30"/>
          <w:szCs w:val="30"/>
          <w:lang w:val="en-US" w:eastAsia="zh-CN"/>
        </w:rPr>
      </w:pPr>
      <w:r>
        <w:rPr>
          <w:rFonts w:hint="eastAsia" w:ascii="仿宋" w:hAnsi="仿宋" w:eastAsia="仿宋"/>
          <w:sz w:val="30"/>
          <w:szCs w:val="30"/>
          <w:lang w:val="en-US" w:eastAsia="zh-CN"/>
        </w:rPr>
        <w:t>（五）乙方要严格遵守甲方“设备管理办法”等相关规定完成竣工验收、结算等相关手续，并将更换下来的旧件由甲乙双方确认后移交于甲方；</w:t>
      </w:r>
    </w:p>
    <w:p>
      <w:pPr>
        <w:pStyle w:val="11"/>
        <w:ind w:left="0" w:leftChars="0" w:firstLine="450" w:firstLineChars="150"/>
        <w:rPr>
          <w:rFonts w:hint="default" w:ascii="仿宋" w:hAnsi="仿宋" w:eastAsia="仿宋"/>
          <w:sz w:val="30"/>
          <w:szCs w:val="30"/>
          <w:lang w:val="en-US" w:eastAsia="zh-CN"/>
        </w:rPr>
      </w:pPr>
      <w:r>
        <w:rPr>
          <w:rFonts w:hint="eastAsia" w:ascii="仿宋" w:hAnsi="仿宋" w:eastAsia="仿宋"/>
          <w:sz w:val="30"/>
          <w:szCs w:val="30"/>
          <w:lang w:val="en-US" w:eastAsia="zh-CN"/>
        </w:rPr>
        <w:t>（六）交货地点：伊旗阿镇天隆大厦</w:t>
      </w:r>
    </w:p>
    <w:p>
      <w:pPr>
        <w:pStyle w:val="11"/>
        <w:ind w:left="0" w:leftChars="0" w:firstLine="450" w:firstLineChars="150"/>
        <w:rPr>
          <w:rFonts w:hint="eastAsia" w:asciiTheme="minorEastAsia" w:hAnsiTheme="minorEastAsia" w:eastAsiaTheme="minorEastAsia" w:cstheme="minorEastAsia"/>
          <w:b/>
          <w:bCs/>
          <w:sz w:val="32"/>
          <w:szCs w:val="32"/>
        </w:rPr>
      </w:pPr>
      <w:r>
        <w:rPr>
          <w:rFonts w:hint="eastAsia" w:ascii="仿宋" w:hAnsi="仿宋" w:eastAsia="仿宋"/>
          <w:sz w:val="30"/>
          <w:szCs w:val="30"/>
          <w:lang w:val="en-US" w:eastAsia="zh-CN"/>
        </w:rPr>
        <w:t>（七）到货、安装总工期：合同签定后30天。</w:t>
      </w:r>
    </w:p>
    <w:p>
      <w:pPr>
        <w:rPr>
          <w:rFonts w:hint="eastAsia"/>
        </w:rPr>
      </w:pPr>
    </w:p>
    <w:p>
      <w:pPr>
        <w:pStyle w:val="11"/>
        <w:ind w:left="0" w:leftChars="0" w:firstLine="360" w:firstLineChars="150"/>
        <w:rPr>
          <w:rFonts w:hint="eastAsia" w:ascii="仿宋" w:hAnsi="仿宋" w:eastAsia="仿宋"/>
          <w:sz w:val="30"/>
          <w:szCs w:val="30"/>
          <w:lang w:val="en-US" w:eastAsia="zh-CN"/>
        </w:rPr>
      </w:pPr>
      <w:r>
        <w:rPr>
          <w:rFonts w:hint="eastAsia"/>
          <w:i w:val="0"/>
          <w:iCs w:val="0"/>
          <w:caps w:val="0"/>
          <w:color w:val="333333"/>
          <w:spacing w:val="0"/>
          <w:sz w:val="24"/>
          <w:szCs w:val="24"/>
          <w:shd w:val="clear" w:fill="FFFFFF"/>
        </w:rPr>
        <w:t xml:space="preserve">   </w:t>
      </w:r>
      <w:r>
        <w:rPr>
          <w:rFonts w:hint="eastAsia" w:asciiTheme="minorEastAsia" w:hAnsiTheme="minorEastAsia" w:eastAsiaTheme="minorEastAsia" w:cstheme="minorEastAsia"/>
          <w:b/>
          <w:bCs/>
          <w:kern w:val="2"/>
          <w:sz w:val="32"/>
          <w:szCs w:val="32"/>
          <w:lang w:val="en-US" w:eastAsia="zh-CN" w:bidi="ar-SA"/>
        </w:rPr>
        <w:t>五、质量保证、付款方式及售后要求：</w:t>
      </w:r>
    </w:p>
    <w:p>
      <w:pPr>
        <w:pStyle w:val="11"/>
        <w:ind w:left="0" w:leftChars="0" w:firstLine="450" w:firstLineChars="150"/>
        <w:rPr>
          <w:rFonts w:hint="eastAsia" w:ascii="仿宋" w:hAnsi="仿宋" w:eastAsia="仿宋"/>
          <w:sz w:val="30"/>
          <w:szCs w:val="30"/>
          <w:lang w:val="en-US" w:eastAsia="zh-CN"/>
        </w:rPr>
      </w:pPr>
      <w:r>
        <w:rPr>
          <w:rFonts w:hint="eastAsia" w:ascii="仿宋" w:hAnsi="仿宋" w:eastAsia="仿宋"/>
          <w:sz w:val="30"/>
          <w:szCs w:val="30"/>
          <w:lang w:val="en-US" w:eastAsia="zh-CN"/>
        </w:rPr>
        <w:t xml:space="preserve"> （一）质量保证方面：符合国家三包规定，质保1年（通过双方验收后计算），质保期内的问题由乙方无偿负责解决；</w:t>
      </w:r>
    </w:p>
    <w:p>
      <w:pPr>
        <w:pStyle w:val="11"/>
        <w:ind w:left="0" w:leftChars="0" w:firstLine="450" w:firstLineChars="150"/>
        <w:rPr>
          <w:rFonts w:hint="eastAsia" w:ascii="仿宋" w:hAnsi="仿宋" w:eastAsia="仿宋"/>
          <w:sz w:val="30"/>
          <w:szCs w:val="30"/>
          <w:lang w:val="en-US" w:eastAsia="zh-CN"/>
        </w:rPr>
      </w:pPr>
      <w:r>
        <w:rPr>
          <w:rFonts w:hint="eastAsia" w:ascii="仿宋" w:hAnsi="仿宋" w:eastAsia="仿宋"/>
          <w:sz w:val="30"/>
          <w:szCs w:val="30"/>
          <w:lang w:val="en-US" w:eastAsia="zh-CN"/>
        </w:rPr>
        <w:t xml:space="preserve"> （二）付款方式：以工业买卖合同为准；</w:t>
      </w:r>
    </w:p>
    <w:p>
      <w:pPr>
        <w:pStyle w:val="11"/>
        <w:ind w:left="0" w:leftChars="0" w:firstLine="450" w:firstLineChars="150"/>
        <w:rPr>
          <w:rFonts w:hint="eastAsia" w:ascii="仿宋" w:hAnsi="仿宋" w:eastAsia="仿宋"/>
          <w:sz w:val="30"/>
          <w:szCs w:val="30"/>
          <w:lang w:val="en-US" w:eastAsia="zh-CN"/>
        </w:rPr>
      </w:pPr>
      <w:r>
        <w:rPr>
          <w:rFonts w:hint="eastAsia" w:ascii="仿宋" w:hAnsi="仿宋" w:eastAsia="仿宋"/>
          <w:sz w:val="30"/>
          <w:szCs w:val="30"/>
          <w:lang w:val="en-US" w:eastAsia="zh-CN"/>
        </w:rPr>
        <w:t xml:space="preserve"> （三）售后方面：设备出现故障时，甲方在通知乙方后应在2小时内响应。</w:t>
      </w:r>
    </w:p>
    <w:p>
      <w:pPr>
        <w:pStyle w:val="11"/>
        <w:ind w:left="0" w:leftChars="0" w:firstLine="360" w:firstLineChars="150"/>
        <w:rPr>
          <w:rFonts w:hint="eastAsia" w:ascii="仿宋" w:hAnsi="仿宋" w:eastAsia="仿宋"/>
          <w:sz w:val="30"/>
          <w:szCs w:val="30"/>
          <w:lang w:val="en-US" w:eastAsia="zh-CN"/>
        </w:rPr>
      </w:pPr>
      <w:r>
        <w:rPr>
          <w:rFonts w:hint="eastAsia" w:ascii="宋体" w:hAnsi="宋体" w:cs="宋体"/>
          <w:sz w:val="24"/>
          <w:lang w:val="en-US" w:eastAsia="zh-CN"/>
        </w:rPr>
        <w:t xml:space="preserve">     </w:t>
      </w:r>
    </w:p>
    <w:p>
      <w:pPr>
        <w:spacing w:line="400" w:lineRule="exact"/>
        <w:ind w:firstLine="320" w:firstLineChars="1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（以下空白，无正文）</w:t>
      </w:r>
    </w:p>
    <w:p>
      <w:pPr>
        <w:pStyle w:val="11"/>
        <w:ind w:firstLine="0" w:firstLineChars="0"/>
        <w:rPr>
          <w:rFonts w:asciiTheme="minorEastAsia" w:hAnsiTheme="minorEastAsia" w:eastAsiaTheme="minorEastAsia" w:cstheme="minorEastAsia"/>
          <w:sz w:val="32"/>
          <w:szCs w:val="32"/>
        </w:rPr>
      </w:pPr>
    </w:p>
    <w:p>
      <w:pPr>
        <w:pStyle w:val="11"/>
        <w:ind w:left="0" w:leftChars="0" w:firstLine="0" w:firstLineChars="0"/>
        <w:rPr>
          <w:rFonts w:asciiTheme="minorEastAsia" w:hAnsiTheme="minorEastAsia" w:eastAsiaTheme="minorEastAsia" w:cstheme="minorEastAsia"/>
          <w:sz w:val="32"/>
          <w:szCs w:val="32"/>
        </w:rPr>
      </w:pPr>
    </w:p>
    <w:p>
      <w:pPr>
        <w:pStyle w:val="11"/>
        <w:ind w:left="0" w:leftChars="0" w:firstLine="0" w:firstLineChars="0"/>
        <w:rPr>
          <w:rFonts w:asciiTheme="minorEastAsia" w:hAnsiTheme="minorEastAsia" w:eastAsiaTheme="minorEastAsia" w:cstheme="minorEastAsia"/>
          <w:sz w:val="32"/>
          <w:szCs w:val="32"/>
        </w:rPr>
      </w:pPr>
    </w:p>
    <w:p>
      <w:pPr>
        <w:pStyle w:val="11"/>
        <w:ind w:left="0" w:leftChars="0" w:firstLine="0" w:firstLineChars="0"/>
        <w:rPr>
          <w:rFonts w:asciiTheme="minorEastAsia" w:hAnsiTheme="minorEastAsia" w:eastAsiaTheme="minorEastAsia" w:cstheme="minorEastAsia"/>
          <w:sz w:val="32"/>
          <w:szCs w:val="32"/>
        </w:rPr>
      </w:pPr>
    </w:p>
    <w:p>
      <w:pPr>
        <w:pStyle w:val="11"/>
        <w:ind w:left="0" w:leftChars="0" w:firstLine="0" w:firstLineChars="0"/>
        <w:rPr>
          <w:rFonts w:asciiTheme="minorEastAsia" w:hAnsiTheme="minorEastAsia" w:eastAsiaTheme="minorEastAsia" w:cstheme="minorEastAsia"/>
          <w:sz w:val="32"/>
          <w:szCs w:val="32"/>
        </w:rPr>
      </w:pPr>
    </w:p>
    <w:p>
      <w:pPr>
        <w:pStyle w:val="11"/>
        <w:ind w:left="0" w:leftChars="0" w:firstLine="0" w:firstLineChars="0"/>
        <w:rPr>
          <w:rFonts w:asciiTheme="minorEastAsia" w:hAnsiTheme="minorEastAsia" w:eastAsiaTheme="minorEastAsia" w:cstheme="minorEastAsia"/>
          <w:sz w:val="32"/>
          <w:szCs w:val="32"/>
        </w:rPr>
      </w:pPr>
    </w:p>
    <w:p>
      <w:pPr>
        <w:pStyle w:val="11"/>
        <w:ind w:left="0" w:leftChars="0" w:firstLine="0" w:firstLineChars="0"/>
        <w:rPr>
          <w:rFonts w:asciiTheme="minorEastAsia" w:hAnsiTheme="minorEastAsia" w:eastAsiaTheme="minorEastAsia" w:cstheme="minorEastAsia"/>
          <w:sz w:val="32"/>
          <w:szCs w:val="32"/>
        </w:rPr>
      </w:pPr>
    </w:p>
    <w:p>
      <w:pPr>
        <w:pStyle w:val="11"/>
        <w:ind w:left="0" w:leftChars="0" w:firstLine="0" w:firstLineChars="0"/>
        <w:rPr>
          <w:rFonts w:asciiTheme="minorEastAsia" w:hAnsiTheme="minorEastAsia" w:eastAsiaTheme="minorEastAsia" w:cstheme="minorEastAsia"/>
          <w:sz w:val="32"/>
          <w:szCs w:val="32"/>
        </w:rPr>
      </w:pPr>
    </w:p>
    <w:p>
      <w:pPr>
        <w:spacing w:beforeLines="100" w:afterLines="100"/>
        <w:jc w:val="center"/>
        <w:rPr>
          <w:rFonts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签 字 审 批 页</w:t>
      </w:r>
    </w:p>
    <w:p>
      <w:pPr>
        <w:pStyle w:val="2"/>
        <w:ind w:left="420"/>
        <w:rPr>
          <w:rFonts w:asciiTheme="minorEastAsia" w:hAnsiTheme="minorEastAsia" w:eastAsiaTheme="minorEastAsia" w:cstheme="minorEastAsia"/>
        </w:rPr>
      </w:pPr>
    </w:p>
    <w:p>
      <w:pPr>
        <w:pStyle w:val="11"/>
        <w:spacing w:after="0"/>
        <w:ind w:left="0" w:leftChars="0" w:firstLine="0" w:firstLineChars="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sz w:val="32"/>
          <w:szCs w:val="32"/>
        </w:rPr>
        <w:t>使用方（章）：</w:t>
      </w:r>
      <w:r>
        <w:rPr>
          <w:rFonts w:hint="eastAsia" w:asciiTheme="minorEastAsia" w:hAnsiTheme="minorEastAsia" w:eastAsiaTheme="minorEastAsia" w:cstheme="minorEastAsia"/>
          <w:bCs/>
          <w:sz w:val="32"/>
          <w:szCs w:val="32"/>
        </w:rPr>
        <w:t xml:space="preserve">内蒙古神东天隆集团股份有限公司物业分公司   </w:t>
      </w:r>
    </w:p>
    <w:p>
      <w:pPr>
        <w:rPr>
          <w:rFonts w:asciiTheme="minorEastAsia" w:hAnsiTheme="minorEastAsia" w:eastAsiaTheme="minorEastAsia" w:cstheme="minorEastAsia"/>
          <w:bCs/>
          <w:sz w:val="32"/>
          <w:szCs w:val="32"/>
        </w:rPr>
      </w:pPr>
    </w:p>
    <w:p>
      <w:pPr>
        <w:ind w:left="9600" w:hanging="9600" w:hangingChars="30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rPr>
        <w:t xml:space="preserve">单位分管领导：                  </w:t>
      </w:r>
      <w:r>
        <w:rPr>
          <w:rFonts w:hint="eastAsia" w:asciiTheme="minorEastAsia" w:hAnsiTheme="minorEastAsia" w:eastAsiaTheme="minorEastAsia" w:cstheme="minorEastAsia"/>
          <w:sz w:val="32"/>
          <w:szCs w:val="32"/>
        </w:rPr>
        <w:t>经办人：</w:t>
      </w:r>
    </w:p>
    <w:p>
      <w:pPr>
        <w:rPr>
          <w:rFonts w:asciiTheme="minorEastAsia" w:hAnsiTheme="minorEastAsia" w:eastAsiaTheme="minorEastAsia" w:cstheme="minorEastAsia"/>
          <w:bCs/>
          <w:sz w:val="32"/>
          <w:szCs w:val="32"/>
        </w:rPr>
      </w:pPr>
    </w:p>
    <w:p>
      <w:pP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rPr>
        <w:t xml:space="preserve">审批日期：          年     月     日                 </w:t>
      </w:r>
    </w:p>
    <w:p>
      <w:pPr>
        <w:pStyle w:val="2"/>
        <w:ind w:left="42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p>
    <w:p>
      <w:pPr>
        <w:rPr>
          <w:rFonts w:asciiTheme="minorEastAsia" w:hAnsiTheme="minorEastAsia" w:eastAsiaTheme="minorEastAsia" w:cstheme="minorEastAsia"/>
          <w:sz w:val="32"/>
          <w:szCs w:val="32"/>
        </w:rPr>
      </w:pPr>
    </w:p>
    <w:p>
      <w:pP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审核方（章）：内蒙古神东天隆集团股份有限公司</w:t>
      </w:r>
      <w:r>
        <w:rPr>
          <w:rFonts w:hint="eastAsia" w:asciiTheme="minorEastAsia" w:hAnsiTheme="minorEastAsia" w:eastAsiaTheme="minorEastAsia" w:cstheme="minorEastAsia"/>
          <w:sz w:val="32"/>
          <w:szCs w:val="32"/>
          <w:lang w:val="en-US" w:eastAsia="zh-CN"/>
        </w:rPr>
        <w:t>安全质量环保部</w:t>
      </w:r>
    </w:p>
    <w:p>
      <w:pPr>
        <w:pStyle w:val="2"/>
        <w:ind w:left="0" w:leftChars="0"/>
        <w:rPr>
          <w:rFonts w:asciiTheme="minorEastAsia" w:hAnsiTheme="minorEastAsia" w:eastAsiaTheme="minorEastAsia" w:cstheme="minorEastAsia"/>
          <w:sz w:val="32"/>
          <w:szCs w:val="32"/>
        </w:rPr>
      </w:pPr>
    </w:p>
    <w:p>
      <w:pPr>
        <w:ind w:left="9600" w:hanging="9600" w:hangingChars="30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rPr>
        <w:t xml:space="preserve">单位分管领导：                  </w:t>
      </w:r>
      <w:r>
        <w:rPr>
          <w:rFonts w:hint="eastAsia" w:asciiTheme="minorEastAsia" w:hAnsiTheme="minorEastAsia" w:eastAsiaTheme="minorEastAsia" w:cstheme="minorEastAsia"/>
          <w:sz w:val="32"/>
          <w:szCs w:val="32"/>
        </w:rPr>
        <w:t>经办人：</w:t>
      </w:r>
    </w:p>
    <w:p>
      <w:pPr>
        <w:rPr>
          <w:rFonts w:asciiTheme="minorEastAsia" w:hAnsiTheme="minorEastAsia" w:eastAsiaTheme="minorEastAsia" w:cstheme="minorEastAsia"/>
          <w:bCs/>
          <w:sz w:val="32"/>
          <w:szCs w:val="32"/>
        </w:rPr>
      </w:pPr>
    </w:p>
    <w:p>
      <w:pPr>
        <w:pStyle w:val="11"/>
        <w:ind w:left="0" w:leftChars="0" w:firstLine="0" w:firstLineChars="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rPr>
        <w:t xml:space="preserve">审批日期：          年     月     日 </w:t>
      </w:r>
    </w:p>
    <w:p/>
    <w:sectPr>
      <w:footerReference r:id="rId4"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pPr>
    <w:r>
      <mc:AlternateContent>
        <mc:Choice Requires="wps">
          <w:drawing>
            <wp:anchor distT="0" distB="0" distL="114300" distR="114300" simplePos="0" relativeHeight="251660288" behindDoc="0" locked="0" layoutInCell="1" allowOverlap="1">
              <wp:simplePos x="0" y="0"/>
              <wp:positionH relativeFrom="column">
                <wp:posOffset>4427855</wp:posOffset>
              </wp:positionH>
              <wp:positionV relativeFrom="paragraph">
                <wp:posOffset>-140335</wp:posOffset>
              </wp:positionV>
              <wp:extent cx="1104900" cy="82931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104900" cy="829310"/>
                      </a:xfrm>
                      <a:prstGeom prst="rect">
                        <a:avLst/>
                      </a:prstGeom>
                      <a:noFill/>
                      <a:ln>
                        <a:noFill/>
                      </a:ln>
                    </wps:spPr>
                    <wps:txbx>
                      <w:txbxContent>
                        <w:p>
                          <w:r>
                            <w:rPr>
                              <w:rFonts w:hint="eastAsia"/>
                            </w:rPr>
                            <w:t>使用方小签：</w:t>
                          </w:r>
                        </w:p>
                        <w:p/>
                        <w:p>
                          <w:r>
                            <w:rPr>
                              <w:rFonts w:hint="eastAsia"/>
                            </w:rPr>
                            <w:t>审核方小签：</w:t>
                          </w:r>
                        </w:p>
                      </w:txbxContent>
                    </wps:txbx>
                    <wps:bodyPr lIns="91439" tIns="45720" rIns="91439" bIns="45720" upright="1"/>
                  </wps:wsp>
                </a:graphicData>
              </a:graphic>
            </wp:anchor>
          </w:drawing>
        </mc:Choice>
        <mc:Fallback>
          <w:pict>
            <v:shape id="文本框 2" o:spid="_x0000_s1026" o:spt="202" type="#_x0000_t202" style="position:absolute;left:0pt;margin-left:348.65pt;margin-top:-11.05pt;height:65.3pt;width:87pt;z-index:251660288;mso-width-relative:page;mso-height-relative:page;" filled="f" stroked="f" coordsize="21600,21600" o:gfxdata="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FN9TraAAAACwEAAA8AAAAAAAAAAQAgAAAAIgAAAGRycy9kb3du&#10;cmV2LnhtbFBLAQIUABQAAAAIAIdO4kA2FkrQxAEAAIIDAAAOAAAAAAAAAAEAIAAAACkBAABkcnMv&#10;ZTJvRG9jLnhtbFBLBQYAAAAABgAGAFkBAABfBQAAAAA=&#10;">
              <v:fill on="f" focussize="0,0"/>
              <v:stroke on="f"/>
              <v:imagedata o:title=""/>
              <o:lock v:ext="edit" aspectratio="f"/>
              <v:textbox inset="7.19992125984252pt,1.27mm,7.19992125984252pt,1.27mm">
                <w:txbxContent>
                  <w:p>
                    <w:r>
                      <w:rPr>
                        <w:rFonts w:hint="eastAsia"/>
                      </w:rPr>
                      <w:t>使用方小签：</w:t>
                    </w:r>
                  </w:p>
                  <w:p/>
                  <w:p>
                    <w:r>
                      <w:rPr>
                        <w:rFonts w:hint="eastAsia"/>
                      </w:rPr>
                      <w:t>审核方小签：</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8CE403"/>
    <w:multiLevelType w:val="singleLevel"/>
    <w:tmpl w:val="0B8CE403"/>
    <w:lvl w:ilvl="0" w:tentative="0">
      <w:start w:val="2"/>
      <w:numFmt w:val="chineseCounting"/>
      <w:suff w:val="nothing"/>
      <w:lvlText w:val="%1、"/>
      <w:lvlJc w:val="left"/>
      <w:pPr>
        <w:ind w:left="-13"/>
      </w:pPr>
      <w:rPr>
        <w:rFonts w:hint="eastAsia"/>
        <w:sz w:val="32"/>
        <w:szCs w:val="32"/>
      </w:rPr>
    </w:lvl>
  </w:abstractNum>
  <w:abstractNum w:abstractNumId="1">
    <w:nsid w:val="144241F0"/>
    <w:multiLevelType w:val="singleLevel"/>
    <w:tmpl w:val="144241F0"/>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YzllNTU1YzQ4YjQ5NzI4NmIwOTFiNDQ5OGY3NzUifQ=="/>
  </w:docVars>
  <w:rsids>
    <w:rsidRoot w:val="29FF6835"/>
    <w:rsid w:val="00047553"/>
    <w:rsid w:val="00051F0C"/>
    <w:rsid w:val="00063EC6"/>
    <w:rsid w:val="001F4F81"/>
    <w:rsid w:val="00242CF8"/>
    <w:rsid w:val="002A18B7"/>
    <w:rsid w:val="002E546F"/>
    <w:rsid w:val="003032D1"/>
    <w:rsid w:val="00326CE2"/>
    <w:rsid w:val="003776AE"/>
    <w:rsid w:val="004325CA"/>
    <w:rsid w:val="004C63CC"/>
    <w:rsid w:val="00523029"/>
    <w:rsid w:val="005C2227"/>
    <w:rsid w:val="006436B1"/>
    <w:rsid w:val="006E67A2"/>
    <w:rsid w:val="00725BC3"/>
    <w:rsid w:val="00740FF7"/>
    <w:rsid w:val="00762037"/>
    <w:rsid w:val="007D39A3"/>
    <w:rsid w:val="00837BEE"/>
    <w:rsid w:val="00944A97"/>
    <w:rsid w:val="00980E07"/>
    <w:rsid w:val="00990CA2"/>
    <w:rsid w:val="00A64BD5"/>
    <w:rsid w:val="00B03F7D"/>
    <w:rsid w:val="00B47F5B"/>
    <w:rsid w:val="00BB1DDC"/>
    <w:rsid w:val="00BE415C"/>
    <w:rsid w:val="00C00EEF"/>
    <w:rsid w:val="00C30E9B"/>
    <w:rsid w:val="00CE6E9D"/>
    <w:rsid w:val="00D1786F"/>
    <w:rsid w:val="00D74AD5"/>
    <w:rsid w:val="00DA06FD"/>
    <w:rsid w:val="00DF6504"/>
    <w:rsid w:val="00E24ABB"/>
    <w:rsid w:val="00E474AE"/>
    <w:rsid w:val="00E5753C"/>
    <w:rsid w:val="00E84ABF"/>
    <w:rsid w:val="00EE1A0C"/>
    <w:rsid w:val="00EF53B1"/>
    <w:rsid w:val="00F55F46"/>
    <w:rsid w:val="00FA157B"/>
    <w:rsid w:val="00FD262C"/>
    <w:rsid w:val="00FE3ACB"/>
    <w:rsid w:val="00FF0BE2"/>
    <w:rsid w:val="02131202"/>
    <w:rsid w:val="12C11885"/>
    <w:rsid w:val="13782F3B"/>
    <w:rsid w:val="1721331E"/>
    <w:rsid w:val="17C17781"/>
    <w:rsid w:val="1B915FA6"/>
    <w:rsid w:val="23851FDE"/>
    <w:rsid w:val="29FF6835"/>
    <w:rsid w:val="38724F1A"/>
    <w:rsid w:val="514813E1"/>
    <w:rsid w:val="5E0A4A65"/>
    <w:rsid w:val="61DB2C22"/>
    <w:rsid w:val="62C5556D"/>
    <w:rsid w:val="66D103A8"/>
    <w:rsid w:val="6F312BDD"/>
    <w:rsid w:val="7C000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200" w:leftChars="200"/>
    </w:pPr>
  </w:style>
  <w:style w:type="paragraph" w:styleId="3">
    <w:name w:val="annotation text"/>
    <w:basedOn w:val="1"/>
    <w:qFormat/>
    <w:uiPriority w:val="0"/>
    <w:pPr>
      <w:jc w:val="left"/>
    </w:pPr>
  </w:style>
  <w:style w:type="paragraph" w:styleId="4">
    <w:name w:val="Body Text Indent"/>
    <w:basedOn w:val="1"/>
    <w:next w:val="5"/>
    <w:qFormat/>
    <w:uiPriority w:val="0"/>
    <w:pPr>
      <w:spacing w:after="120"/>
      <w:ind w:left="420" w:leftChars="200"/>
    </w:pPr>
  </w:style>
  <w:style w:type="paragraph" w:styleId="5">
    <w:name w:val="header"/>
    <w:basedOn w:val="1"/>
    <w:next w:val="6"/>
    <w:qFormat/>
    <w:uiPriority w:val="99"/>
    <w:pPr>
      <w:pBdr>
        <w:bottom w:val="single" w:color="auto" w:sz="6" w:space="1"/>
      </w:pBdr>
      <w:tabs>
        <w:tab w:val="center" w:pos="4153"/>
        <w:tab w:val="right" w:pos="8306"/>
      </w:tabs>
      <w:snapToGrid w:val="0"/>
      <w:jc w:val="center"/>
    </w:pPr>
    <w:rPr>
      <w:sz w:val="18"/>
      <w:szCs w:val="18"/>
    </w:rPr>
  </w:style>
  <w:style w:type="paragraph" w:styleId="6">
    <w:name w:val="Date"/>
    <w:basedOn w:val="1"/>
    <w:next w:val="1"/>
    <w:qFormat/>
    <w:uiPriority w:val="0"/>
    <w:rPr>
      <w:sz w:val="24"/>
      <w:szCs w:val="20"/>
    </w:rPr>
  </w:style>
  <w:style w:type="paragraph" w:styleId="7">
    <w:name w:val="Plain Text"/>
    <w:basedOn w:val="1"/>
    <w:link w:val="18"/>
    <w:qFormat/>
    <w:uiPriority w:val="99"/>
    <w:rPr>
      <w:rFonts w:ascii="宋体" w:hAnsi="Courier New"/>
      <w:szCs w:val="20"/>
    </w:rPr>
  </w:style>
  <w:style w:type="paragraph" w:styleId="8">
    <w:name w:val="Balloon Text"/>
    <w:basedOn w:val="1"/>
    <w:link w:val="16"/>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Body Text First Indent 2"/>
    <w:basedOn w:val="4"/>
    <w:qFormat/>
    <w:uiPriority w:val="0"/>
    <w:pPr>
      <w:ind w:firstLine="420" w:firstLineChars="200"/>
    </w:pPr>
  </w:style>
  <w:style w:type="character" w:styleId="14">
    <w:name w:val="annotation reference"/>
    <w:basedOn w:val="13"/>
    <w:qFormat/>
    <w:uiPriority w:val="0"/>
    <w:rPr>
      <w:sz w:val="21"/>
      <w:szCs w:val="21"/>
    </w:rPr>
  </w:style>
  <w:style w:type="paragraph" w:styleId="15">
    <w:name w:val="No Spacing"/>
    <w:qFormat/>
    <w:uiPriority w:val="99"/>
    <w:pPr>
      <w:widowControl w:val="0"/>
      <w:jc w:val="both"/>
    </w:pPr>
    <w:rPr>
      <w:rFonts w:ascii="Calibri" w:hAnsi="Calibri" w:eastAsia="宋体" w:cs="Times New Roman"/>
      <w:kern w:val="2"/>
      <w:sz w:val="21"/>
      <w:lang w:val="en-US" w:eastAsia="zh-CN" w:bidi="ar-SA"/>
    </w:rPr>
  </w:style>
  <w:style w:type="character" w:customStyle="1" w:styleId="16">
    <w:name w:val="批注框文本 Char"/>
    <w:basedOn w:val="13"/>
    <w:link w:val="8"/>
    <w:qFormat/>
    <w:uiPriority w:val="0"/>
    <w:rPr>
      <w:rFonts w:ascii="Times New Roman" w:hAnsi="Times New Roman" w:eastAsia="宋体" w:cs="Times New Roman"/>
      <w:kern w:val="2"/>
      <w:sz w:val="18"/>
      <w:szCs w:val="18"/>
    </w:rPr>
  </w:style>
  <w:style w:type="paragraph" w:styleId="17">
    <w:name w:val="List Paragraph"/>
    <w:basedOn w:val="1"/>
    <w:unhideWhenUsed/>
    <w:qFormat/>
    <w:uiPriority w:val="99"/>
    <w:pPr>
      <w:ind w:firstLine="420" w:firstLineChars="200"/>
    </w:pPr>
  </w:style>
  <w:style w:type="character" w:customStyle="1" w:styleId="18">
    <w:name w:val="纯文本 Char"/>
    <w:basedOn w:val="13"/>
    <w:link w:val="7"/>
    <w:qFormat/>
    <w:uiPriority w:val="99"/>
    <w:rPr>
      <w:rFonts w:ascii="宋体" w:hAnsi="Courier New" w:eastAsia="宋体" w:cs="Times New Roman"/>
      <w:kern w:val="2"/>
      <w:sz w:val="21"/>
    </w:rPr>
  </w:style>
  <w:style w:type="paragraph" w:customStyle="1" w:styleId="19">
    <w:name w:val="自控1"/>
    <w:basedOn w:val="1"/>
    <w:qFormat/>
    <w:uiPriority w:val="0"/>
    <w:pPr>
      <w:widowControl/>
      <w:topLinePunct/>
      <w:spacing w:line="312" w:lineRule="exact"/>
      <w:ind w:left="879" w:hanging="454"/>
    </w:pPr>
    <w:rPr>
      <w:rFonts w:cs="Arial"/>
      <w:kern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7CFA5D-49C3-424B-B982-CDE62EA0168C}">
  <ds:schemaRefs/>
</ds:datastoreItem>
</file>

<file path=docProps/app.xml><?xml version="1.0" encoding="utf-8"?>
<Properties xmlns="http://schemas.openxmlformats.org/officeDocument/2006/extended-properties" xmlns:vt="http://schemas.openxmlformats.org/officeDocument/2006/docPropsVTypes">
  <Template>Normal</Template>
  <Pages>5</Pages>
  <Words>986</Words>
  <Characters>1080</Characters>
  <Lines>6</Lines>
  <Paragraphs>1</Paragraphs>
  <TotalTime>28</TotalTime>
  <ScaleCrop>false</ScaleCrop>
  <LinksUpToDate>false</LinksUpToDate>
  <CharactersWithSpaces>1255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2022-06-06T07:56:00Z</dcterms:created>
  <dc:creator>赵耀</dc:creator>
  <cp:lastModifiedBy>小可</cp:lastModifiedBy>
  <cp:lastPrinted>2023-06-30T01:22:00Z</cp:lastPrinted>
  <dcterms:modified xsi:type="dcterms:W3CDTF">2023-06-30T10:05:37Z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9F294DEAF7674F2DAACDB75B7C89F041_13</vt:lpwstr>
  </property>
</Properties>
</file>