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E3" w:rsidRDefault="003414DB">
      <w:pPr>
        <w:tabs>
          <w:tab w:val="left" w:pos="420"/>
        </w:tabs>
        <w:ind w:left="421" w:hangingChars="131" w:hanging="421"/>
        <w:jc w:val="right"/>
        <w:rPr>
          <w:rFonts w:ascii="宋体" w:eastAsia="黑体" w:hAnsi="宋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编号：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DHZ-202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-JJJH-0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16</w:t>
      </w:r>
    </w:p>
    <w:p w:rsidR="00A851E3" w:rsidRDefault="00A851E3">
      <w:pPr>
        <w:tabs>
          <w:tab w:val="left" w:pos="420"/>
        </w:tabs>
        <w:ind w:left="947" w:hangingChars="131" w:hanging="947"/>
        <w:jc w:val="right"/>
        <w:rPr>
          <w:rFonts w:ascii="宋体" w:eastAsia="黑体" w:hAnsi="宋体"/>
          <w:b/>
          <w:sz w:val="72"/>
          <w:szCs w:val="72"/>
        </w:rPr>
      </w:pPr>
    </w:p>
    <w:p w:rsidR="00A851E3" w:rsidRDefault="00A851E3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A851E3" w:rsidRDefault="003414DB">
      <w:pPr>
        <w:spacing w:line="480" w:lineRule="auto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内蒙古神东天隆集团股份有限公司</w:t>
      </w:r>
    </w:p>
    <w:p w:rsidR="00A851E3" w:rsidRDefault="003414DB">
      <w:pPr>
        <w:spacing w:line="480" w:lineRule="auto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大海则煤矿</w:t>
      </w:r>
    </w:p>
    <w:p w:rsidR="00A851E3" w:rsidRDefault="003414DB">
      <w:pPr>
        <w:spacing w:line="480" w:lineRule="auto"/>
        <w:jc w:val="center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>5</w:t>
      </w:r>
      <w:r>
        <w:rPr>
          <w:rFonts w:ascii="宋体" w:hAnsi="宋体"/>
          <w:b/>
          <w:sz w:val="48"/>
          <w:vertAlign w:val="superscript"/>
        </w:rPr>
        <w:t>-1</w:t>
      </w:r>
      <w:r>
        <w:rPr>
          <w:rFonts w:ascii="宋体" w:hAnsi="宋体" w:hint="eastAsia"/>
          <w:b/>
          <w:sz w:val="48"/>
        </w:rPr>
        <w:t>煤层综采工作面</w:t>
      </w:r>
      <w:r>
        <w:rPr>
          <w:rFonts w:ascii="宋体" w:hAnsi="宋体" w:hint="eastAsia"/>
          <w:b/>
          <w:sz w:val="48"/>
        </w:rPr>
        <w:t>电缆类</w:t>
      </w:r>
    </w:p>
    <w:p w:rsidR="00A851E3" w:rsidRDefault="00A851E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A851E3" w:rsidRDefault="00A851E3">
      <w:pPr>
        <w:rPr>
          <w:rFonts w:ascii="宋体" w:hAnsi="宋体" w:cs="宋体"/>
          <w:b/>
          <w:sz w:val="36"/>
          <w:szCs w:val="36"/>
        </w:rPr>
      </w:pPr>
    </w:p>
    <w:p w:rsidR="00A851E3" w:rsidRDefault="00A851E3">
      <w:pPr>
        <w:pStyle w:val="a0"/>
        <w:rPr>
          <w:b/>
          <w:sz w:val="36"/>
          <w:szCs w:val="36"/>
        </w:rPr>
      </w:pPr>
    </w:p>
    <w:p w:rsidR="00A851E3" w:rsidRDefault="00A851E3">
      <w:pPr>
        <w:pStyle w:val="a0"/>
        <w:rPr>
          <w:b/>
          <w:sz w:val="36"/>
          <w:szCs w:val="36"/>
        </w:rPr>
      </w:pPr>
    </w:p>
    <w:p w:rsidR="00A851E3" w:rsidRDefault="00A851E3">
      <w:pPr>
        <w:pStyle w:val="a0"/>
        <w:rPr>
          <w:b/>
          <w:sz w:val="36"/>
          <w:szCs w:val="36"/>
        </w:rPr>
      </w:pPr>
    </w:p>
    <w:p w:rsidR="00A851E3" w:rsidRDefault="003414DB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84"/>
          <w:szCs w:val="84"/>
        </w:rPr>
        <w:t>技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术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要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求</w:t>
      </w:r>
    </w:p>
    <w:p w:rsidR="00A851E3" w:rsidRDefault="00A851E3">
      <w:pPr>
        <w:pStyle w:val="a8"/>
        <w:ind w:left="1473" w:hanging="64"/>
        <w:rPr>
          <w:rFonts w:ascii="宋体" w:hAnsi="宋体" w:cs="宋体"/>
          <w:sz w:val="32"/>
          <w:szCs w:val="32"/>
        </w:rPr>
      </w:pPr>
    </w:p>
    <w:p w:rsidR="00A851E3" w:rsidRDefault="00A851E3">
      <w:pPr>
        <w:pStyle w:val="a4"/>
      </w:pPr>
    </w:p>
    <w:p w:rsidR="00A851E3" w:rsidRDefault="00A851E3">
      <w:pPr>
        <w:tabs>
          <w:tab w:val="left" w:pos="1227"/>
        </w:tabs>
        <w:rPr>
          <w:rFonts w:ascii="宋体" w:hAnsi="宋体" w:cs="宋体"/>
          <w:b/>
          <w:sz w:val="32"/>
          <w:szCs w:val="32"/>
        </w:rPr>
      </w:pPr>
    </w:p>
    <w:p w:rsidR="00A851E3" w:rsidRDefault="003414D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内蒙古神东天隆集团股份有限公司大海则煤矿</w:t>
      </w:r>
    </w:p>
    <w:p w:rsidR="00A851E3" w:rsidRDefault="003414DB">
      <w:pPr>
        <w:ind w:firstLineChars="98" w:firstLine="315"/>
        <w:rPr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A851E3" w:rsidRDefault="003414DB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ascii="宋体" w:hAnsi="宋体" w:hint="eastAsia"/>
          <w:bCs/>
          <w:sz w:val="32"/>
          <w:szCs w:val="21"/>
        </w:rPr>
        <w:t>2</w:t>
      </w:r>
      <w:r>
        <w:rPr>
          <w:rFonts w:ascii="宋体" w:hAnsi="宋体" w:hint="eastAsia"/>
          <w:bCs/>
          <w:sz w:val="32"/>
          <w:szCs w:val="21"/>
        </w:rPr>
        <w:t>3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ascii="宋体" w:hAnsi="宋体" w:hint="eastAsia"/>
          <w:bCs/>
          <w:sz w:val="32"/>
          <w:szCs w:val="21"/>
        </w:rPr>
        <w:t>6</w:t>
      </w:r>
      <w:r>
        <w:rPr>
          <w:rFonts w:ascii="宋体" w:hAnsi="宋体"/>
          <w:bCs/>
          <w:sz w:val="32"/>
          <w:szCs w:val="21"/>
        </w:rPr>
        <w:t>月</w:t>
      </w:r>
    </w:p>
    <w:p w:rsidR="00A851E3" w:rsidRDefault="003414DB">
      <w:pPr>
        <w:spacing w:beforeLines="100" w:before="312" w:afterLines="100" w:after="312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技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术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要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求</w:t>
      </w:r>
    </w:p>
    <w:p w:rsidR="00A851E3" w:rsidRDefault="003414DB">
      <w:pPr>
        <w:pStyle w:val="20"/>
        <w:spacing w:after="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使用方：内蒙古神东天隆集团股份有限公司大海则煤矿</w:t>
      </w:r>
    </w:p>
    <w:p w:rsidR="00A851E3" w:rsidRDefault="003414DB">
      <w:pPr>
        <w:pStyle w:val="20"/>
        <w:spacing w:after="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审核方：内蒙古神东天隆集团股份有限公司机电动力部</w:t>
      </w:r>
    </w:p>
    <w:p w:rsidR="00A851E3" w:rsidRDefault="003414DB">
      <w:pPr>
        <w:pStyle w:val="ab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一、基本信息：</w:t>
      </w:r>
    </w:p>
    <w:tbl>
      <w:tblPr>
        <w:tblW w:w="9202" w:type="dxa"/>
        <w:tblInd w:w="-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089"/>
        <w:gridCol w:w="3765"/>
        <w:gridCol w:w="750"/>
        <w:gridCol w:w="771"/>
      </w:tblGrid>
      <w:tr w:rsidR="00A851E3">
        <w:trPr>
          <w:trHeight w:val="627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A851E3">
        <w:trPr>
          <w:trHeight w:val="603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煤机电缆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MCP1.9/3.3-3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70+1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35+7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</w:t>
            </w:r>
          </w:p>
        </w:tc>
      </w:tr>
      <w:tr w:rsidR="00A851E3">
        <w:trPr>
          <w:trHeight w:val="496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刮板机电缆</w:t>
            </w:r>
          </w:p>
        </w:tc>
        <w:tc>
          <w:tcPr>
            <w:tcW w:w="3765" w:type="dxa"/>
            <w:vAlign w:val="center"/>
          </w:tcPr>
          <w:p w:rsidR="00A851E3" w:rsidRDefault="003414DB" w:rsidP="00F7194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</w:rPr>
              <w:t>VFP-1.9</w:t>
            </w:r>
            <w:r>
              <w:rPr>
                <w:rFonts w:ascii="仿宋_GB2312" w:eastAsia="仿宋_GB2312" w:hint="eastAsia"/>
                <w:sz w:val="24"/>
              </w:rPr>
              <w:t>/3.3-3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70</w:t>
            </w:r>
            <w:r>
              <w:rPr>
                <w:rFonts w:ascii="仿宋_GB2312" w:eastAsia="仿宋_GB2312" w:hint="eastAsia"/>
                <w:sz w:val="24"/>
              </w:rPr>
              <w:t>+1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 w:rsidR="00F7194B">
              <w:rPr>
                <w:rFonts w:ascii="仿宋_GB2312" w:eastAsia="仿宋_GB2312"/>
                <w:sz w:val="24"/>
              </w:rPr>
              <w:t>50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28"/>
                <w:sz w:val="24"/>
              </w:rPr>
              <w:t>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00</w:t>
            </w:r>
          </w:p>
        </w:tc>
      </w:tr>
      <w:tr w:rsidR="00A851E3">
        <w:trPr>
          <w:trHeight w:val="447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转载机、破碎机电缆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</w:rPr>
              <w:t>VFP-</w:t>
            </w:r>
            <w:r>
              <w:rPr>
                <w:rFonts w:ascii="仿宋_GB2312" w:eastAsia="仿宋_GB2312" w:hint="eastAsia"/>
                <w:sz w:val="24"/>
              </w:rPr>
              <w:t>1.9/3.3-3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35+1</w:t>
            </w:r>
            <w:r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200</w:t>
            </w:r>
          </w:p>
        </w:tc>
      </w:tr>
      <w:tr w:rsidR="00A851E3">
        <w:trPr>
          <w:trHeight w:val="399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皮带机电缆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95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50mm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500</w:t>
            </w:r>
          </w:p>
        </w:tc>
      </w:tr>
      <w:tr w:rsidR="00A851E3">
        <w:trPr>
          <w:trHeight w:val="399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泵站电缆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150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50mm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280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泵站电缆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185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50mm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200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破碎机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喷雾泵、</w:t>
            </w:r>
            <w:r>
              <w:rPr>
                <w:rFonts w:ascii="仿宋_GB2312" w:eastAsia="仿宋_GB2312" w:hint="eastAsia"/>
                <w:sz w:val="24"/>
              </w:rPr>
              <w:t>排水电缆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 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50+1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16mm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000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排水电缆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 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500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工作面排水电缆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MYP-0.66/1.14 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25+1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10mm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1000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照明电缆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MYQ-4*2.5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1000</w:t>
            </w:r>
          </w:p>
        </w:tc>
      </w:tr>
      <w:tr w:rsidR="00A851E3">
        <w:trPr>
          <w:trHeight w:val="464"/>
          <w:tblHeader/>
        </w:trPr>
        <w:tc>
          <w:tcPr>
            <w:tcW w:w="827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089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70" w:after="70" w:line="360" w:lineRule="auto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高压电缆</w:t>
            </w:r>
          </w:p>
        </w:tc>
        <w:tc>
          <w:tcPr>
            <w:tcW w:w="3765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MYPTJ-6/10-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95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+1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×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50</w:t>
            </w:r>
            <w:r>
              <w:rPr>
                <w:rFonts w:ascii="仿宋_GB2312" w:eastAsia="仿宋_GB2312" w:hAnsi="宋体" w:hint="eastAsia"/>
                <w:kern w:val="28"/>
                <w:sz w:val="24"/>
              </w:rPr>
              <w:t>mm</w:t>
            </w:r>
            <w:r>
              <w:rPr>
                <w:rFonts w:ascii="仿宋_GB2312" w:eastAsia="仿宋_GB2312" w:hAnsi="宋体" w:hint="eastAsia"/>
                <w:kern w:val="28"/>
                <w:sz w:val="24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米</w:t>
            </w:r>
          </w:p>
        </w:tc>
        <w:tc>
          <w:tcPr>
            <w:tcW w:w="771" w:type="dxa"/>
            <w:vAlign w:val="center"/>
          </w:tcPr>
          <w:p w:rsidR="00A851E3" w:rsidRDefault="003414DB">
            <w:pPr>
              <w:topLinePunct/>
              <w:adjustRightInd w:val="0"/>
              <w:snapToGrid w:val="0"/>
              <w:spacing w:before="60" w:after="60" w:line="360" w:lineRule="auto"/>
              <w:jc w:val="center"/>
              <w:outlineLvl w:val="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1500</w:t>
            </w:r>
          </w:p>
        </w:tc>
      </w:tr>
    </w:tbl>
    <w:p w:rsidR="00A851E3" w:rsidRDefault="00A851E3">
      <w:pPr>
        <w:pStyle w:val="20"/>
        <w:spacing w:after="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A851E3" w:rsidRDefault="003414DB">
      <w:pPr>
        <w:spacing w:line="360" w:lineRule="auto"/>
        <w:ind w:leftChars="-337" w:left="-708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pacing w:val="-5"/>
          <w:kern w:val="0"/>
          <w:sz w:val="32"/>
          <w:szCs w:val="28"/>
        </w:rPr>
        <w:t>二、</w:t>
      </w:r>
      <w:r>
        <w:rPr>
          <w:rFonts w:ascii="仿宋_GB2312" w:eastAsia="仿宋_GB2312" w:hAnsiTheme="minorEastAsia" w:cs="宋体" w:hint="eastAsia"/>
          <w:b/>
          <w:spacing w:val="-5"/>
          <w:kern w:val="0"/>
          <w:sz w:val="32"/>
          <w:szCs w:val="28"/>
        </w:rPr>
        <w:t>电缆技术要求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.1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、执行标准：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MT818.5-2009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、工作条件：电缆导体的长期工作温度不低于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65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℃。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3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、出厂前必须做交流耐压试验，至少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3.7KV5min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不被击穿。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4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、导体电阻试验：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20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℃时导体直流电阻不大于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0.386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Ω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/km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5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、绝缘电阻试验：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20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℃时绝缘电阻不小于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250M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Ω·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 xml:space="preserve"> km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6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、过渡电阻试验：过渡电阻不大于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3k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Ω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7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、线芯识别：采用绝缘分色识别，主线芯红、绿、白。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8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、成品电缆的阻燃性能满足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MT818.5-2009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的要求。</w:t>
      </w:r>
    </w:p>
    <w:p w:rsidR="00A851E3" w:rsidRDefault="003414DB">
      <w:pPr>
        <w:spacing w:line="360" w:lineRule="auto"/>
        <w:rPr>
          <w:rFonts w:ascii="仿宋_GB2312" w:eastAsia="仿宋_GB2312" w:hAnsiTheme="minorEastAsia" w:cstheme="minorEastAsia"/>
          <w:kern w:val="0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.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9</w:t>
      </w:r>
      <w:r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、电缆标志：电缆表面印有型号、电压、规格及制造厂。</w:t>
      </w:r>
    </w:p>
    <w:p w:rsidR="00A851E3" w:rsidRDefault="003414DB">
      <w:pPr>
        <w:snapToGrid w:val="0"/>
        <w:spacing w:line="360" w:lineRule="auto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2.10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、线芯材质：铜</w:t>
      </w:r>
    </w:p>
    <w:p w:rsidR="00A851E3" w:rsidRDefault="003414DB">
      <w:pPr>
        <w:snapToGrid w:val="0"/>
        <w:spacing w:line="360" w:lineRule="auto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2.11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电缆阻燃性能：符合煤炭行业标准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MT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/T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386-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2011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《煤矿用阻燃电缆阻燃性的试验方法和判定规则》</w:t>
      </w:r>
    </w:p>
    <w:p w:rsidR="00A851E3" w:rsidRDefault="003414DB">
      <w:pPr>
        <w:snapToGrid w:val="0"/>
        <w:spacing w:line="360" w:lineRule="auto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2.12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电缆导体允许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最高允许工作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温度：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90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℃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，短路时电缆导体最高温度不超过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250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℃。</w:t>
      </w:r>
    </w:p>
    <w:p w:rsidR="00A851E3" w:rsidRDefault="003414DB">
      <w:pPr>
        <w:snapToGrid w:val="0"/>
        <w:spacing w:line="360" w:lineRule="auto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2.13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到货时附带产品出厂合格证、出厂检验证明及到第三方检验报告。</w:t>
      </w:r>
    </w:p>
    <w:p w:rsidR="00A851E3" w:rsidRDefault="003414DB">
      <w:pPr>
        <w:pStyle w:val="20"/>
        <w:ind w:leftChars="0" w:left="0" w:firstLineChars="0" w:firstLine="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三、其他或环境要求：</w:t>
      </w:r>
    </w:p>
    <w:p w:rsidR="00A851E3" w:rsidRDefault="003414DB">
      <w:pPr>
        <w:pStyle w:val="20"/>
        <w:spacing w:line="360" w:lineRule="auto"/>
        <w:ind w:leftChars="0" w:left="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（一）运行环境条件要求</w:t>
      </w:r>
    </w:p>
    <w:p w:rsidR="00A851E3" w:rsidRDefault="003414DB">
      <w:pPr>
        <w:pStyle w:val="a9"/>
        <w:adjustRightInd w:val="0"/>
        <w:snapToGrid w:val="0"/>
        <w:spacing w:line="360" w:lineRule="auto"/>
        <w:ind w:firstLineChars="250" w:firstLine="700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、运行地点：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煤矿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井下</w:t>
      </w:r>
    </w:p>
    <w:p w:rsidR="00A851E3" w:rsidRDefault="003414DB">
      <w:pPr>
        <w:pStyle w:val="a9"/>
        <w:adjustRightInd w:val="0"/>
        <w:snapToGrid w:val="0"/>
        <w:spacing w:line="360" w:lineRule="auto"/>
        <w:ind w:firstLineChars="250" w:firstLine="700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、海拔高度：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+1000m--+1300m</w:t>
      </w:r>
    </w:p>
    <w:p w:rsidR="00A851E3" w:rsidRDefault="003414DB">
      <w:pPr>
        <w:spacing w:line="360" w:lineRule="auto"/>
        <w:ind w:firstLineChars="250" w:firstLine="700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、瓦斯等级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 xml:space="preserve">:  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低瓦斯矿井</w:t>
      </w:r>
    </w:p>
    <w:p w:rsidR="00A851E3" w:rsidRDefault="003414DB">
      <w:pPr>
        <w:pStyle w:val="20"/>
        <w:spacing w:line="360" w:lineRule="auto"/>
        <w:ind w:leftChars="0" w:left="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（二）其他要求</w:t>
      </w:r>
    </w:p>
    <w:p w:rsidR="00A851E3" w:rsidRDefault="003414DB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、随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设备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资料</w:t>
      </w:r>
    </w:p>
    <w:p w:rsidR="00A851E3" w:rsidRDefault="003414DB">
      <w:pPr>
        <w:pStyle w:val="1"/>
        <w:spacing w:line="360" w:lineRule="auto"/>
        <w:ind w:left="0"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生产厂家应提供产品使用说明书，出厂试验报告，合格证书，安标证书、防爆证书、安装图纸等技术资料纸质版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套，电子版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套，备品备件及专用工具清单，电子资料和纸质版资料必须相符。</w:t>
      </w:r>
    </w:p>
    <w:p w:rsidR="00A851E3" w:rsidRDefault="003414DB">
      <w:pPr>
        <w:pStyle w:val="1"/>
        <w:spacing w:line="360" w:lineRule="auto"/>
        <w:ind w:left="0"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、设备及材料的运输、卸车均由中标方负责。</w:t>
      </w:r>
    </w:p>
    <w:p w:rsidR="00A851E3" w:rsidRDefault="003414DB">
      <w:pPr>
        <w:pStyle w:val="20"/>
        <w:ind w:leftChars="0" w:left="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四、质量保证、售后：</w:t>
      </w:r>
    </w:p>
    <w:p w:rsidR="00A851E3" w:rsidRDefault="003414DB">
      <w:pPr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  <w:lang w:eastAsia="en-US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质量保证</w:t>
      </w:r>
    </w:p>
    <w:p w:rsidR="00A851E3" w:rsidRDefault="003414DB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质量保证期限：设备到矿验收合格日起，质保期为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18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个月或使用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。质保期内出现的质量问题均由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供货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方无偿解决处理（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人为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eastAsia="en-US"/>
        </w:rPr>
        <w:t>因素造成的损坏除外）且所质保产品必须与原产品无异。</w:t>
      </w:r>
    </w:p>
    <w:p w:rsidR="00A851E3" w:rsidRDefault="003414DB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（二）售后服务</w:t>
      </w:r>
    </w:p>
    <w:p w:rsidR="00A851E3" w:rsidRDefault="003414DB">
      <w:pPr>
        <w:pStyle w:val="20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、产品出厂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年内供方应及时提交免费技术服务，对使用中出现的问题应能迅速处理，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24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小时内到矿，保证设备的正常使用；优惠提供配件，并保证及时供应。</w:t>
      </w:r>
    </w:p>
    <w:p w:rsidR="00A851E3" w:rsidRDefault="003414DB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、除相应最终用户的技术服务要求外，一年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1-2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次的技术回访，解决用户在使用过程中的一些问题，以及设备在运行过程中的注意事项。</w:t>
      </w:r>
    </w:p>
    <w:p w:rsidR="00A851E3" w:rsidRDefault="003414DB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、后期配件采购一年内按招标价供应，五年内价格不大于招标价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120%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，且不加收技术服务费。</w:t>
      </w:r>
    </w:p>
    <w:p w:rsidR="00A851E3" w:rsidRDefault="003414DB">
      <w:pPr>
        <w:spacing w:line="360" w:lineRule="auto"/>
        <w:ind w:firstLineChars="200" w:firstLine="540"/>
        <w:rPr>
          <w:rFonts w:ascii="仿宋_GB2312" w:eastAsia="仿宋_GB2312" w:hAnsi="宋体" w:cs="宋体"/>
          <w:spacing w:val="-5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、设备的性能指标必须符合国家标准要求和地方行业标准要求。</w:t>
      </w:r>
    </w:p>
    <w:p w:rsidR="00A851E3" w:rsidRDefault="003414DB">
      <w:pPr>
        <w:spacing w:line="360" w:lineRule="auto"/>
        <w:ind w:firstLineChars="200" w:firstLine="540"/>
        <w:rPr>
          <w:rFonts w:ascii="仿宋_GB2312" w:eastAsia="仿宋_GB2312" w:hAnsi="宋体" w:cs="宋体"/>
          <w:spacing w:val="-5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设备到货时间必须按照使用方要求进行安排（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2023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11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30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日）</w:t>
      </w:r>
      <w:r>
        <w:rPr>
          <w:rFonts w:ascii="仿宋_GB2312" w:eastAsia="仿宋_GB2312" w:hAnsi="宋体" w:cs="宋体" w:hint="eastAsia"/>
          <w:spacing w:val="-5"/>
          <w:kern w:val="0"/>
          <w:sz w:val="28"/>
          <w:szCs w:val="28"/>
        </w:rPr>
        <w:t>。</w:t>
      </w:r>
    </w:p>
    <w:p w:rsidR="00A851E3" w:rsidRDefault="00A851E3">
      <w:pPr>
        <w:spacing w:line="360" w:lineRule="auto"/>
        <w:ind w:firstLineChars="200" w:firstLine="540"/>
        <w:rPr>
          <w:rFonts w:ascii="仿宋_GB2312" w:eastAsia="仿宋_GB2312" w:hAnsi="宋体" w:cs="宋体"/>
          <w:spacing w:val="-5"/>
          <w:kern w:val="0"/>
          <w:sz w:val="28"/>
          <w:szCs w:val="28"/>
        </w:rPr>
      </w:pPr>
    </w:p>
    <w:p w:rsidR="00A851E3" w:rsidRDefault="00A851E3">
      <w:pPr>
        <w:pStyle w:val="a0"/>
      </w:pPr>
    </w:p>
    <w:p w:rsidR="00A851E3" w:rsidRDefault="00A851E3">
      <w:pPr>
        <w:pStyle w:val="a0"/>
      </w:pPr>
    </w:p>
    <w:p w:rsidR="00A851E3" w:rsidRDefault="00A851E3"/>
    <w:p w:rsidR="00A851E3" w:rsidRDefault="00A851E3">
      <w:pPr>
        <w:spacing w:beforeLines="100" w:before="312" w:afterLines="100" w:after="312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A851E3" w:rsidRDefault="00A851E3">
      <w:pPr>
        <w:spacing w:beforeLines="100" w:before="312" w:afterLines="100" w:after="312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A851E3" w:rsidRDefault="003414DB">
      <w:pPr>
        <w:spacing w:beforeLines="100" w:before="312" w:afterLines="100" w:after="312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签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字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审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批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页</w:t>
      </w:r>
    </w:p>
    <w:p w:rsidR="00A851E3" w:rsidRDefault="00A851E3">
      <w:pPr>
        <w:pStyle w:val="2"/>
        <w:ind w:left="420"/>
        <w:rPr>
          <w:rFonts w:ascii="仿宋_GB2312" w:eastAsia="仿宋_GB2312" w:hAnsi="仿宋_GB2312" w:cs="仿宋_GB2312"/>
        </w:rPr>
      </w:pPr>
    </w:p>
    <w:p w:rsidR="00A851E3" w:rsidRDefault="003414DB">
      <w:pPr>
        <w:pStyle w:val="20"/>
        <w:spacing w:after="0"/>
        <w:ind w:leftChars="0" w:left="0"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使用方（章）：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内蒙古神东天隆集团股份有限公司大海则煤矿</w:t>
      </w:r>
    </w:p>
    <w:p w:rsidR="00A851E3" w:rsidRDefault="00A851E3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A851E3" w:rsidRDefault="003414DB">
      <w:pPr>
        <w:ind w:left="9600" w:hangingChars="3000" w:hanging="9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单位分管领导：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经办人：</w:t>
      </w:r>
    </w:p>
    <w:p w:rsidR="00A851E3" w:rsidRDefault="00A851E3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A851E3" w:rsidRDefault="003414D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审批日期：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</w:t>
      </w:r>
    </w:p>
    <w:p w:rsidR="00A851E3" w:rsidRDefault="00A851E3">
      <w:pPr>
        <w:rPr>
          <w:rFonts w:ascii="仿宋_GB2312" w:eastAsia="仿宋_GB2312" w:hAnsi="仿宋_GB2312" w:cs="仿宋_GB2312"/>
          <w:sz w:val="32"/>
          <w:szCs w:val="32"/>
        </w:rPr>
      </w:pPr>
    </w:p>
    <w:p w:rsidR="00A851E3" w:rsidRDefault="00A851E3">
      <w:pPr>
        <w:pStyle w:val="a4"/>
        <w:rPr>
          <w:rFonts w:hAnsi="仿宋_GB2312" w:cs="仿宋_GB2312"/>
        </w:rPr>
      </w:pPr>
    </w:p>
    <w:p w:rsidR="00A851E3" w:rsidRDefault="003414D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审核方（章）：内蒙古神东天隆集团股份有限公司机电动力部</w:t>
      </w:r>
    </w:p>
    <w:p w:rsidR="00A851E3" w:rsidRDefault="00A851E3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</w:p>
    <w:p w:rsidR="00A851E3" w:rsidRDefault="003414DB">
      <w:pPr>
        <w:ind w:left="9600" w:hangingChars="3000" w:hanging="9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单位分管领导：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经办人：</w:t>
      </w:r>
    </w:p>
    <w:p w:rsidR="00A851E3" w:rsidRDefault="00A851E3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A851E3" w:rsidRDefault="003414DB">
      <w:pPr>
        <w:pStyle w:val="20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审批日期：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A851E3" w:rsidRDefault="00A851E3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:rsidR="00A851E3" w:rsidRDefault="00A851E3"/>
    <w:sectPr w:rsidR="00A851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DB" w:rsidRDefault="003414DB">
      <w:r>
        <w:separator/>
      </w:r>
    </w:p>
  </w:endnote>
  <w:endnote w:type="continuationSeparator" w:id="0">
    <w:p w:rsidR="003414DB" w:rsidRDefault="003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1E3" w:rsidRDefault="003414DB">
    <w:pPr>
      <w:pStyle w:val="aa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1E3" w:rsidRDefault="003414DB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719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851E3" w:rsidRDefault="003414DB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719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DB" w:rsidRDefault="003414DB">
      <w:r>
        <w:separator/>
      </w:r>
    </w:p>
  </w:footnote>
  <w:footnote w:type="continuationSeparator" w:id="0">
    <w:p w:rsidR="003414DB" w:rsidRDefault="0034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YzViZTRmN2NkNThhZmFhMzI5ZTcwNWUwMjgzYTEifQ=="/>
  </w:docVars>
  <w:rsids>
    <w:rsidRoot w:val="00A851E3"/>
    <w:rsid w:val="003414DB"/>
    <w:rsid w:val="00A851E3"/>
    <w:rsid w:val="00F7194B"/>
    <w:rsid w:val="09752D8F"/>
    <w:rsid w:val="29F413D7"/>
    <w:rsid w:val="5B517908"/>
    <w:rsid w:val="5CFC07E5"/>
    <w:rsid w:val="64873D3F"/>
    <w:rsid w:val="69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45B07"/>
  <w15:docId w15:val="{8FD692A8-E6C5-42A2-B698-9F927516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toc 3" w:uiPriority="3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lock Text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样式 正文文本 + 宋体"/>
    <w:basedOn w:val="a4"/>
    <w:qFormat/>
    <w:pPr>
      <w:ind w:left="711"/>
    </w:pPr>
    <w:rPr>
      <w:rFonts w:ascii="宋体" w:hAnsi="宋体" w:cs="宋体"/>
      <w:sz w:val="32"/>
      <w:szCs w:val="32"/>
      <w:lang w:val="zh-CN" w:bidi="zh-CN"/>
    </w:rPr>
  </w:style>
  <w:style w:type="paragraph" w:styleId="a4">
    <w:name w:val="Body Text"/>
    <w:basedOn w:val="a"/>
    <w:next w:val="3"/>
    <w:uiPriority w:val="99"/>
    <w:qFormat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DengXian" w:eastAsia="DengXian" w:hAnsi="DengXian"/>
      <w:kern w:val="0"/>
      <w:sz w:val="22"/>
      <w:szCs w:val="22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header"/>
    <w:basedOn w:val="a"/>
    <w:next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qFormat/>
    <w:rPr>
      <w:sz w:val="24"/>
      <w:szCs w:val="20"/>
    </w:rPr>
  </w:style>
  <w:style w:type="paragraph" w:styleId="a8">
    <w:name w:val="Block Text"/>
    <w:basedOn w:val="a"/>
    <w:qFormat/>
    <w:pPr>
      <w:widowControl/>
      <w:tabs>
        <w:tab w:val="left" w:pos="7990"/>
      </w:tabs>
      <w:adjustRightInd w:val="0"/>
      <w:spacing w:before="1560"/>
      <w:ind w:leftChars="671" w:left="1497" w:rightChars="730" w:right="1533" w:hangingChars="20" w:hanging="88"/>
      <w:jc w:val="center"/>
    </w:pPr>
    <w:rPr>
      <w:rFonts w:ascii="Calibri" w:hAnsi="Calibri"/>
      <w:b/>
      <w:sz w:val="44"/>
      <w:szCs w:val="20"/>
      <w:lang w:bidi="en-US"/>
    </w:rPr>
  </w:style>
  <w:style w:type="paragraph" w:styleId="a9">
    <w:name w:val="Plain Text"/>
    <w:basedOn w:val="a"/>
    <w:uiPriority w:val="99"/>
    <w:qFormat/>
    <w:rPr>
      <w:rFonts w:ascii="宋体" w:hAnsi="Courier New"/>
      <w:szCs w:val="20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toc 2"/>
    <w:basedOn w:val="a"/>
    <w:next w:val="a"/>
    <w:uiPriority w:val="39"/>
    <w:qFormat/>
    <w:pPr>
      <w:ind w:leftChars="200" w:left="200"/>
    </w:pPr>
  </w:style>
  <w:style w:type="paragraph" w:styleId="20">
    <w:name w:val="Body Text First Indent 2"/>
    <w:basedOn w:val="a5"/>
    <w:qFormat/>
    <w:pPr>
      <w:ind w:firstLineChars="200" w:firstLine="420"/>
    </w:pPr>
  </w:style>
  <w:style w:type="paragraph" w:styleId="ab">
    <w:name w:val="No Spacing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">
    <w:name w:val="自控1"/>
    <w:basedOn w:val="ac"/>
    <w:qFormat/>
    <w:pPr>
      <w:topLinePunct/>
      <w:spacing w:line="312" w:lineRule="exact"/>
      <w:ind w:left="879" w:firstLineChars="0" w:hanging="454"/>
    </w:pPr>
    <w:rPr>
      <w:rFonts w:ascii="Times New Roman" w:cs="Arial"/>
      <w:kern w:val="21"/>
      <w:szCs w:val="21"/>
    </w:rPr>
  </w:style>
  <w:style w:type="paragraph" w:customStyle="1" w:styleId="ac">
    <w:name w:val="段"/>
    <w:qFormat/>
    <w:pPr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机电科</dc:creator>
  <cp:lastModifiedBy>Administrator</cp:lastModifiedBy>
  <cp:revision>2</cp:revision>
  <cp:lastPrinted>2023-05-31T01:46:00Z</cp:lastPrinted>
  <dcterms:created xsi:type="dcterms:W3CDTF">2023-05-30T06:32:00Z</dcterms:created>
  <dcterms:modified xsi:type="dcterms:W3CDTF">2023-06-02T04:03:00Z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13804612D5714922B111759B013C4229_12</vt:lpwstr>
  </property>
</Properties>
</file>