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wordWrap w:val="0"/>
        <w:ind w:left="421" w:leftChars="0" w:hanging="421" w:hangingChars="131"/>
        <w:jc w:val="right"/>
        <w:rPr>
          <w:rFonts w:hint="default" w:ascii="宋体" w:hAnsi="宋体"/>
          <w:b/>
          <w:bCs w:val="0"/>
          <w:color w:val="auto"/>
          <w:sz w:val="72"/>
          <w:szCs w:val="7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z w:val="32"/>
          <w:szCs w:val="32"/>
          <w:highlight w:val="none"/>
          <w:lang w:val="en-US" w:eastAsia="zh-CN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DHZ-2022-JJJH-22</w:t>
      </w:r>
    </w:p>
    <w:p>
      <w:pPr>
        <w:ind w:left="420"/>
        <w:jc w:val="center"/>
        <w:rPr>
          <w:rFonts w:hint="eastAsia" w:ascii="宋体" w:hAnsi="宋体"/>
          <w:b/>
          <w:bCs w:val="0"/>
          <w:color w:val="auto"/>
          <w:sz w:val="72"/>
          <w:szCs w:val="72"/>
          <w:highlight w:val="none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color w:val="auto"/>
          <w:sz w:val="44"/>
          <w:szCs w:val="44"/>
          <w:highlight w:val="none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color w:val="auto"/>
          <w:sz w:val="44"/>
          <w:szCs w:val="44"/>
          <w:highlight w:val="none"/>
          <w:lang w:eastAsia="zh-CN"/>
        </w:rPr>
      </w:pPr>
    </w:p>
    <w:p>
      <w:pPr>
        <w:jc w:val="center"/>
        <w:rPr>
          <w:rFonts w:hint="eastAsia" w:ascii="宋体" w:hAnsi="宋体" w:cs="宋体"/>
          <w:b/>
          <w:bCs w:val="0"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40"/>
          <w:szCs w:val="40"/>
          <w:highlight w:val="none"/>
          <w:lang w:val="en-US" w:eastAsia="zh-CN"/>
        </w:rPr>
        <w:t>内蒙古神东天隆集团股份有限公司大海则煤矿</w:t>
      </w:r>
    </w:p>
    <w:p>
      <w:pPr>
        <w:jc w:val="center"/>
        <w:rPr>
          <w:rFonts w:hint="default" w:ascii="宋体" w:hAnsi="宋体" w:eastAsia="宋体" w:cs="宋体"/>
          <w:b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sz w:val="40"/>
          <w:szCs w:val="40"/>
          <w:highlight w:val="none"/>
          <w:lang w:val="en-US" w:eastAsia="zh-CN"/>
        </w:rPr>
        <w:t>井下用管路</w:t>
      </w:r>
    </w:p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  <w:highlight w:val="none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96"/>
          <w:szCs w:val="9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84"/>
          <w:szCs w:val="84"/>
          <w:highlight w:val="none"/>
          <w:lang w:eastAsia="zh-CN"/>
        </w:rPr>
        <w:t>技</w:t>
      </w:r>
      <w:r>
        <w:rPr>
          <w:rFonts w:hint="eastAsia" w:ascii="宋体" w:hAnsi="宋体" w:cs="宋体"/>
          <w:b/>
          <w:bCs w:val="0"/>
          <w:color w:val="auto"/>
          <w:sz w:val="84"/>
          <w:szCs w:val="8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84"/>
          <w:szCs w:val="84"/>
          <w:highlight w:val="none"/>
          <w:lang w:eastAsia="zh-CN"/>
        </w:rPr>
        <w:t>术</w:t>
      </w:r>
      <w:r>
        <w:rPr>
          <w:rFonts w:hint="eastAsia" w:ascii="宋体" w:hAnsi="宋体" w:cs="宋体"/>
          <w:b/>
          <w:bCs w:val="0"/>
          <w:color w:val="auto"/>
          <w:sz w:val="84"/>
          <w:szCs w:val="8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84"/>
          <w:szCs w:val="84"/>
          <w:highlight w:val="none"/>
          <w:lang w:val="en-US" w:eastAsia="zh-CN"/>
        </w:rPr>
        <w:t>要</w:t>
      </w:r>
      <w:r>
        <w:rPr>
          <w:rFonts w:hint="eastAsia" w:ascii="宋体" w:hAnsi="宋体" w:cs="宋体"/>
          <w:b/>
          <w:bCs w:val="0"/>
          <w:color w:val="auto"/>
          <w:sz w:val="84"/>
          <w:szCs w:val="8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84"/>
          <w:szCs w:val="84"/>
          <w:highlight w:val="none"/>
          <w:lang w:val="en-US" w:eastAsia="zh-CN"/>
        </w:rPr>
        <w:t>求</w:t>
      </w:r>
    </w:p>
    <w:p>
      <w:pPr>
        <w:jc w:val="center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32"/>
          <w:szCs w:val="21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内蒙古神东天隆集团股份有限公司大海则煤矿</w:t>
      </w:r>
    </w:p>
    <w:p>
      <w:pPr>
        <w:jc w:val="center"/>
        <w:rPr>
          <w:rFonts w:hint="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  <w:t xml:space="preserve"> 审核方：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     </w:t>
      </w:r>
      <w:r>
        <w:rPr>
          <w:rFonts w:hint="eastAsia"/>
          <w:color w:val="auto"/>
          <w:sz w:val="30"/>
          <w:szCs w:val="30"/>
          <w:highlight w:val="none"/>
          <w:lang w:val="en-US" w:eastAsia="zh-CN"/>
        </w:rPr>
        <w:t xml:space="preserve">                                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tabs>
          <w:tab w:val="left" w:pos="1227"/>
        </w:tabs>
        <w:jc w:val="center"/>
        <w:rPr>
          <w:rFonts w:hint="default"/>
          <w:highlight w:val="none"/>
          <w:lang w:val="en-US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ascii="宋体" w:hAnsi="宋体"/>
          <w:b w:val="0"/>
          <w:bCs/>
          <w:color w:val="auto"/>
          <w:sz w:val="32"/>
          <w:szCs w:val="21"/>
          <w:highlight w:val="none"/>
          <w:u w:val="none" w:color="auto"/>
        </w:rPr>
        <w:t>20</w:t>
      </w:r>
      <w:r>
        <w:rPr>
          <w:rFonts w:hint="eastAsia" w:ascii="宋体" w:hAnsi="宋体"/>
          <w:b w:val="0"/>
          <w:bCs/>
          <w:color w:val="auto"/>
          <w:sz w:val="32"/>
          <w:szCs w:val="21"/>
          <w:highlight w:val="none"/>
          <w:u w:val="none" w:color="auto"/>
          <w:lang w:val="en-US" w:eastAsia="zh-CN"/>
        </w:rPr>
        <w:t>22</w:t>
      </w:r>
      <w:r>
        <w:rPr>
          <w:rFonts w:ascii="宋体" w:hAnsi="宋体"/>
          <w:b w:val="0"/>
          <w:bCs/>
          <w:color w:val="auto"/>
          <w:sz w:val="32"/>
          <w:szCs w:val="21"/>
          <w:highlight w:val="none"/>
          <w:u w:val="none" w:color="auto"/>
        </w:rPr>
        <w:t>年</w:t>
      </w:r>
      <w:r>
        <w:rPr>
          <w:rFonts w:hint="eastAsia" w:ascii="宋体" w:hAnsi="宋体"/>
          <w:b w:val="0"/>
          <w:bCs/>
          <w:color w:val="auto"/>
          <w:sz w:val="32"/>
          <w:szCs w:val="21"/>
          <w:highlight w:val="none"/>
          <w:u w:val="none" w:color="auto"/>
          <w:lang w:val="en-US" w:eastAsia="zh-CN"/>
        </w:rPr>
        <w:t>9</w:t>
      </w:r>
      <w:r>
        <w:rPr>
          <w:rFonts w:ascii="宋体" w:hAnsi="宋体"/>
          <w:b w:val="0"/>
          <w:bCs/>
          <w:color w:val="auto"/>
          <w:sz w:val="32"/>
          <w:szCs w:val="21"/>
          <w:highlight w:val="none"/>
          <w:u w:val="none" w:color="auto"/>
        </w:rPr>
        <w:t>月</w:t>
      </w:r>
      <w:r>
        <w:rPr>
          <w:rFonts w:hint="eastAsia" w:ascii="宋体" w:hAnsi="宋体"/>
          <w:b w:val="0"/>
          <w:bCs/>
          <w:color w:val="auto"/>
          <w:sz w:val="32"/>
          <w:szCs w:val="21"/>
          <w:highlight w:val="none"/>
          <w:u w:val="none" w:color="auto"/>
          <w:lang w:val="en-US" w:eastAsia="zh-CN"/>
        </w:rPr>
        <w:t>29日</w:t>
      </w:r>
    </w:p>
    <w:p>
      <w:pPr>
        <w:wordWrap w:val="0"/>
        <w:jc w:val="right"/>
        <w:rPr>
          <w:rFonts w:hint="default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 xml:space="preserve">DHZ-2022-JJJH-22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Theme="majorEastAsia" w:hAnsiTheme="majorEastAsia" w:eastAsiaTheme="majorEastAsia" w:cstheme="majorEastAsia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highlight w:val="none"/>
          <w:lang w:val="en-US" w:eastAsia="zh-CN"/>
        </w:rPr>
        <w:t>技 术 要 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使用方：内蒙古神东天隆集团股份有限公司大海则煤矿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审核方：内蒙古神东天隆集团股份有限公司机电动力部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               </w:t>
      </w:r>
    </w:p>
    <w:p>
      <w:pPr>
        <w:pStyle w:val="12"/>
        <w:ind w:left="0" w:leftChars="0" w:firstLine="562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一、基本信息：</w:t>
      </w:r>
    </w:p>
    <w:tbl>
      <w:tblPr>
        <w:tblStyle w:val="10"/>
        <w:tblW w:w="10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7"/>
        <w:gridCol w:w="550"/>
        <w:gridCol w:w="716"/>
        <w:gridCol w:w="1288"/>
        <w:gridCol w:w="1288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ind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规格型号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位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资金来源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用途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交（提）货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煤矿用纤维增强聚乙烯管（高直管）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FRPE-KML2.5/225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米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4950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专项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消防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洒水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大海则煤矿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煤矿用纤维增强聚乙烯管（高直管）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FRPE-KML2.5/160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米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11360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专项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消防洒水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大海则煤矿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煤矿用纤维增强聚乙烯管（高直管）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FRPE-KML2.5/110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米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5040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专项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供水施救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大海则煤矿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煤矿用纤维增强聚乙烯管（高直管）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FRPE-KML2.5/225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米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4110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专项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排水管路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大海则煤矿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煤矿用纤维增强聚乙烯管（高直管）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FRPE-KML2.5/160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米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11146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专项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排水管路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大海则煤矿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vanish/>
          <w:color w:val="auto"/>
          <w:highlight w:val="none"/>
        </w:rPr>
      </w:pPr>
    </w:p>
    <w:p>
      <w:pPr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基本参数：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2.1消防洒水：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（1）货物名称：煤矿用纤维增强聚乙烯液体管（高直管）</w:t>
      </w:r>
    </w:p>
    <w:p>
      <w:pPr>
        <w:pStyle w:val="3"/>
        <w:ind w:firstLine="560" w:firstLineChars="200"/>
        <w:rPr>
          <w:rFonts w:hint="default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（2）规格型号：FRPE-KML2.5/225，FRPE-KML2.5/160，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（3）长度:6米/根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（4）耐压能力：≥2.5Mpa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（4）颜色：</w:t>
      </w: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darkGreen"/>
          <w:lang w:val="en-US" w:eastAsia="zh-CN" w:bidi="ar-SA"/>
        </w:rPr>
        <w:t>绿色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default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（6）材质：纤维增强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聚乙烯PE100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（7）连接方式：扣压活套法兰连接（扣压接头及法兰盘必须做镀锌防锈处理）；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2.2</w:t>
      </w: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供水施救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（1）货物名称：煤矿用纤维增强聚乙烯液体管（高直管）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（2）规格型号：FRPE-KML2.5/110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（3）长度:6米/根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（4）耐压能力：≥2.5Mpa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（5）颜色：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cyan"/>
          <w:lang w:val="en-US" w:eastAsia="zh-CN"/>
        </w:rPr>
        <w:t>青绿色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default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（6）材质：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聚乙烯PE100</w:t>
      </w: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（7）连接方式：扣压活套法兰连接（扣压接头及法兰盘必须做镀锌防锈处理）；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2.3</w:t>
      </w: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排水管路：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（1）货物名称：煤矿用纤维增强聚乙烯液体管（高直管）</w:t>
      </w:r>
    </w:p>
    <w:p>
      <w:pPr>
        <w:pStyle w:val="3"/>
        <w:ind w:firstLine="560" w:firstLineChars="200"/>
        <w:rPr>
          <w:rFonts w:hint="default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（2）规格型号：FRPE-KML2.5/225，FRPE-KML2.5/160，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（3）长度:6米/根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（4）耐压能力：≥2.5Mpa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（4）颜色：蓝色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default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（6）材质：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聚乙烯PE100</w:t>
      </w: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（7）连接方式：扣压活套法兰连接（扣压接头及法兰盘必须做镀锌防锈处理）；</w:t>
      </w: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基本要求：</w:t>
      </w:r>
    </w:p>
    <w:p>
      <w:pPr>
        <w:spacing w:line="520" w:lineRule="exact"/>
        <w:ind w:firstLine="562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3.1</w:t>
      </w:r>
      <w:r>
        <w:rPr>
          <w:rFonts w:hint="eastAsia"/>
          <w:sz w:val="28"/>
          <w:szCs w:val="28"/>
          <w:lang w:val="en-US" w:eastAsia="zh-CN"/>
        </w:rPr>
        <w:t>执行标准：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CJ/T189-2007 《钢丝网骨架塑料(聚乙烯)复合管》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GB/T2791《胶粘剂T剥离强度试验方法，挠性材料对挠性材料》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GB/T8806《塑料管材尺寸测量方法（eqv ISO 3126:1974）》</w:t>
      </w:r>
    </w:p>
    <w:p>
      <w:pPr>
        <w:spacing w:line="24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GB/T15560-1995《流体输送用塑料管材液压瞬时爆破和耐压试验方法》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AQ1043-2007《矿用产品安全标志标识》</w:t>
      </w:r>
    </w:p>
    <w:p>
      <w:pPr>
        <w:pStyle w:val="9"/>
        <w:numPr>
          <w:ilvl w:val="0"/>
          <w:numId w:val="0"/>
        </w:numPr>
        <w:ind w:left="630" w:leftChars="0"/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3.2</w:t>
      </w:r>
      <w:r>
        <w:rPr>
          <w:rFonts w:hint="eastAsia"/>
          <w:sz w:val="28"/>
          <w:szCs w:val="28"/>
        </w:rPr>
        <w:t>标志、包装、运输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>
        <w:rPr>
          <w:rFonts w:hint="eastAsia"/>
          <w:sz w:val="28"/>
          <w:szCs w:val="28"/>
          <w:lang w:val="en-US" w:eastAsia="zh-CN"/>
        </w:rPr>
        <w:t>管材</w:t>
      </w:r>
      <w:r>
        <w:rPr>
          <w:rFonts w:hint="eastAsia"/>
          <w:sz w:val="28"/>
          <w:szCs w:val="28"/>
        </w:rPr>
        <w:t>出厂时应有下列标志：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1）公称外径；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2）公称压力；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3）生产厂名或商标； 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4）生产日期或生产批号；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5）用户的其他要求。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2、包装。按供需双方商定要求进行。</w:t>
      </w:r>
    </w:p>
    <w:p>
      <w:pPr>
        <w:spacing w:line="52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3、运输。管件运输时，不得受到划伤、剧烈的撞击、不得抛摔，严禁油污和化学污染。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3.3</w:t>
      </w: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生产的煤矿用纤维增强聚乙烯管（高直管）及管件完全符合《钢丝网骨架塑料(聚乙烯)复合管材及管件》（CJ/T189-2007），CJ/T为建设部发布的中华人民共和国城镇建设行业标准。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3.4</w:t>
      </w: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出厂的管材颜色具体按供货范围要求而定。其外观一定保证内表面清洁、光滑、平整，无明显划伤或分解变色线，无纤维裸露；管材内外表面不允许有明显的划痕、气泡、杂质、颜色不均的缺陷产品出厂，且管材两端应切割平整，并与管轴线垂直，端头进行防渗密封处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2" w:firstLineChars="200"/>
        <w:textAlignment w:val="auto"/>
        <w:rPr>
          <w:rFonts w:hint="default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3.5</w:t>
      </w: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供货范围包括相应管材连接所需螺栓螺母、胶垫以及三通、短节等管件。</w:t>
      </w: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其他或环境要求：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（一）运行环境条件要求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00" w:firstLineChars="25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1、运行地点：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煤矿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井下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00" w:firstLineChars="25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2、海拔高度：+1000m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 xml:space="preserve"> -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+1300m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700" w:firstLineChars="25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3、瓦斯等级:  低瓦斯矿井</w:t>
      </w:r>
    </w:p>
    <w:p>
      <w:pPr>
        <w:pStyle w:val="9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（二）其他要求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1、随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设备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资料</w:t>
      </w:r>
    </w:p>
    <w:p>
      <w:pPr>
        <w:pStyle w:val="13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生产厂家应提供产品出厂检验报告，合格证书，安标证书等技术资料纸质版4套，电子版1套，电子资料和纸质版资料必须相符。</w:t>
      </w:r>
    </w:p>
    <w:p>
      <w:pPr>
        <w:pStyle w:val="13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设备及材料的运输、卸车均由中标方负责。</w:t>
      </w:r>
    </w:p>
    <w:p>
      <w:pPr>
        <w:pStyle w:val="13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3、货到矿后取样送第三方进行阻燃、抗静电等性能检测，并出具合格检测报告，费用由乙方承担。</w:t>
      </w:r>
    </w:p>
    <w:p>
      <w:pPr>
        <w:pStyle w:val="13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4、因现场场地有限后期管路需要分批次供货，具体到矿时间由甲方提前一周书面通知乙方。</w:t>
      </w: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质量保证、售后：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（一）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质量保证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1、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质量保证期限：设备到矿验收合格日起，质保期为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18个月或使用1年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。质保期内出现的质量问题均由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供货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方无偿解决处理（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人为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因素造成的损坏除外）且所质保产品必须与原产品无异。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2、</w:t>
      </w: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货到后组织第三方机构检测鉴定，检测不合格乙方无条件退换，产生费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用由乙方无条件承担。</w:t>
      </w:r>
    </w:p>
    <w:p>
      <w:pPr>
        <w:pStyle w:val="9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（以下无正文）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highlight w:val="none"/>
        </w:rPr>
        <w:sectPr>
          <w:footerReference r:id="rId4" w:type="default"/>
          <w:pgSz w:w="11906" w:h="16838"/>
          <w:pgMar w:top="1440" w:right="1080" w:bottom="1440" w:left="108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highlight w:val="none"/>
        </w:rPr>
        <w:t>签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highlight w:val="none"/>
        </w:rPr>
        <w:t>字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highlight w:val="none"/>
          <w:lang w:val="en-US" w:eastAsia="zh-CN"/>
        </w:rPr>
        <w:t xml:space="preserve"> 审 批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highlight w:val="none"/>
        </w:rPr>
        <w:t>页</w:t>
      </w:r>
    </w:p>
    <w:p>
      <w:pPr>
        <w:pStyle w:val="8"/>
        <w:rPr>
          <w:rFonts w:hint="eastAsia" w:asciiTheme="minorEastAsia" w:hAnsiTheme="minorEastAsia" w:eastAsiaTheme="minorEastAsia" w:cstheme="minorEastAsia"/>
          <w:highlight w:val="none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使用方（章）：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内蒙古神东天隆集团股份有限公司大海则煤矿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 xml:space="preserve">日               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审核方（章）：内蒙古神东天隆集团股份有限公司机电动力部</w:t>
      </w:r>
    </w:p>
    <w:p>
      <w:pPr>
        <w:pStyle w:val="8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</w:pPr>
    </w:p>
    <w:p>
      <w:pPr>
        <w:pStyle w:val="9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 xml:space="preserve">日 </w:t>
      </w:r>
    </w:p>
    <w:p>
      <w:pPr>
        <w:rPr>
          <w:highlight w:val="none"/>
        </w:rPr>
      </w:pPr>
    </w:p>
    <w:p/>
    <w:sectPr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rPr>
        <w:rFonts w:hint="default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lIns="91439" tIns="45719" rIns="91439" bIns="45719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28"/>
        <w:szCs w:val="28"/>
      </w:rPr>
    </w:lvl>
  </w:abstractNum>
  <w:abstractNum w:abstractNumId="1">
    <w:nsid w:val="18028AD9"/>
    <w:multiLevelType w:val="singleLevel"/>
    <w:tmpl w:val="18028AD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ODc1OGU0MjBlYzM4MGE0NjgwNTY5NDkzOWUwOWEifQ=="/>
  </w:docVars>
  <w:rsids>
    <w:rsidRoot w:val="52A770CC"/>
    <w:rsid w:val="17420EBD"/>
    <w:rsid w:val="29E50D07"/>
    <w:rsid w:val="49BD5EAC"/>
    <w:rsid w:val="522238F4"/>
    <w:rsid w:val="52A770CC"/>
    <w:rsid w:val="72FB30AB"/>
    <w:rsid w:val="7EB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qFormat/>
    <w:uiPriority w:val="0"/>
    <w:pPr>
      <w:spacing w:line="360" w:lineRule="auto"/>
    </w:pPr>
    <w:rPr>
      <w:rFonts w:ascii="仿宋_GB2312" w:eastAsia="仿宋_GB2312"/>
      <w:bCs/>
      <w:color w:val="000000"/>
      <w:sz w:val="28"/>
    </w:r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Plain Text"/>
    <w:basedOn w:val="1"/>
    <w:qFormat/>
    <w:uiPriority w:val="99"/>
    <w:rPr>
      <w:rFonts w:ascii="宋体" w:hAnsi="Courier New"/>
      <w:szCs w:val="20"/>
    </w:rPr>
  </w:style>
  <w:style w:type="paragraph" w:styleId="8">
    <w:name w:val="toc 2"/>
    <w:basedOn w:val="1"/>
    <w:next w:val="1"/>
    <w:qFormat/>
    <w:uiPriority w:val="0"/>
    <w:pPr>
      <w:ind w:left="200" w:leftChars="200"/>
    </w:pPr>
  </w:style>
  <w:style w:type="paragraph" w:styleId="9">
    <w:name w:val="Body Text First Indent 2"/>
    <w:basedOn w:val="4"/>
    <w:qFormat/>
    <w:uiPriority w:val="0"/>
    <w:pPr>
      <w:ind w:firstLine="420" w:firstLineChars="200"/>
    </w:pPr>
  </w:style>
  <w:style w:type="paragraph" w:styleId="12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3">
    <w:name w:val="自控1"/>
    <w:basedOn w:val="14"/>
    <w:qFormat/>
    <w:uiPriority w:val="0"/>
    <w:pPr>
      <w:topLinePunct/>
      <w:spacing w:line="312" w:lineRule="exact"/>
      <w:ind w:left="879" w:hanging="454" w:firstLineChars="0"/>
    </w:pPr>
    <w:rPr>
      <w:rFonts w:ascii="Times New Roman" w:cs="Arial"/>
      <w:kern w:val="21"/>
      <w:szCs w:val="21"/>
    </w:rPr>
  </w:style>
  <w:style w:type="paragraph" w:customStyle="1" w:styleId="14">
    <w:name w:val="段"/>
    <w:qFormat/>
    <w:uiPriority w:val="0"/>
    <w:pPr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>
      <sectNamePr val="正文"/>
    </customSectPr>
    <customSectPr>
      <sectNamePr val="正文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1609</Words>
  <Characters>1932</Characters>
  <Lines>0</Lines>
  <Paragraphs>0</Paragraphs>
  <TotalTime>117</TotalTime>
  <ScaleCrop>false</ScaleCrop>
  <LinksUpToDate>false</LinksUpToDate>
  <CharactersWithSpaces>2104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2022-10-20T08:24:00Z</dcterms:created>
  <dc:creator>宁静致远</dc:creator>
  <cp:lastModifiedBy>疯魔</cp:lastModifiedBy>
  <dcterms:modified xsi:type="dcterms:W3CDTF">2022-10-27T10:17:48Z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C369457EBA644A98A074B1DFEA67A778</vt:lpwstr>
  </property>
</Properties>
</file>