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HLW-2022-ZX-045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净水器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10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1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净水器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参考型号：CCR400-3(L)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产品类型：直饮机</w:t>
      </w:r>
      <w:bookmarkStart w:id="0" w:name="_GoBack"/>
      <w:bookmarkEnd w:id="0"/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适用水源：市政自来水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温度范围：5-38℃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适用水压：0.1-0.35Mpa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制水量：60L/H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使用人数：≤160人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使用场所：多楼层办公场所，单位食堂，工厂，学校等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RO膜规格：400加仑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1、产品的生产制造符合相关国家标准和行业标准；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2、采用RO膜反渗透法净水。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3、中标方负责产品的运输、装卸和安装，安装楼层最高为5层。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提供产品合格证、说明书、保修卡及其他商用电器相关资料，开具增值税专用发票。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产品实行三包，质保期为三年。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2FlYzVkZjEyN2Y0ZmM0MzhjY2UwZmI5ZTAyMTYifQ=="/>
  </w:docVars>
  <w:rsids>
    <w:rsidRoot w:val="29FF6835"/>
    <w:rsid w:val="004325CA"/>
    <w:rsid w:val="01C16CED"/>
    <w:rsid w:val="02131202"/>
    <w:rsid w:val="0B11167B"/>
    <w:rsid w:val="190C3220"/>
    <w:rsid w:val="1B915FA6"/>
    <w:rsid w:val="23851FDE"/>
    <w:rsid w:val="28FD014B"/>
    <w:rsid w:val="29BB7000"/>
    <w:rsid w:val="29FF6835"/>
    <w:rsid w:val="2A8C27DA"/>
    <w:rsid w:val="38977872"/>
    <w:rsid w:val="394C5C67"/>
    <w:rsid w:val="4078469A"/>
    <w:rsid w:val="48727DB1"/>
    <w:rsid w:val="4CBD34D4"/>
    <w:rsid w:val="514813E1"/>
    <w:rsid w:val="62C5556D"/>
    <w:rsid w:val="6A4916C3"/>
    <w:rsid w:val="6B295CE7"/>
    <w:rsid w:val="6E6215B4"/>
    <w:rsid w:val="6F312BDD"/>
    <w:rsid w:val="791B6537"/>
    <w:rsid w:val="7B51001A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styleId="1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529</Words>
  <Characters>599</Characters>
  <Lines>0</Lines>
  <Paragraphs>0</Paragraphs>
  <TotalTime>70</TotalTime>
  <ScaleCrop>false</ScaleCrop>
  <LinksUpToDate>false</LinksUpToDate>
  <CharactersWithSpaces>762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2022-06-07T02:06:00Z</cp:lastPrinted>
  <dcterms:modified xsi:type="dcterms:W3CDTF">2022-11-01T01:12:50Z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1B7CEB7870E2454A879AC3343CEA583A</vt:lpwstr>
  </property>
</Properties>
</file>