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leftChars="0" w:hanging="421" w:hangingChars="131"/>
        <w:jc w:val="right"/>
        <w:rPr>
          <w:rFonts w:hint="default" w:ascii="宋体" w:hAnsi="宋体"/>
          <w:b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HLW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-2022-ZX-021</w:t>
      </w:r>
    </w:p>
    <w:p>
      <w:pPr>
        <w:ind w:left="420"/>
        <w:jc w:val="center"/>
        <w:rPr>
          <w:rFonts w:hint="eastAsia" w:ascii="宋体" w:hAnsi="宋体"/>
          <w:b/>
          <w:bCs w:val="0"/>
          <w:sz w:val="72"/>
          <w:szCs w:val="72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ind w:left="420"/>
        <w:jc w:val="center"/>
        <w:rPr>
          <w:rFonts w:hint="eastAsia" w:ascii="宋体" w:hAnsi="宋体"/>
          <w:b/>
          <w:bCs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神东天隆集团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股份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霍洛湾煤矿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关于购置</w:t>
      </w:r>
      <w:r>
        <w:rPr>
          <w:rFonts w:hint="eastAsia" w:ascii="宋体" w:hAnsi="宋体" w:cs="宋体"/>
          <w:b/>
          <w:bCs/>
          <w:w w:val="80"/>
          <w:sz w:val="44"/>
          <w:szCs w:val="44"/>
          <w:lang w:val="en-US" w:eastAsia="zh-CN"/>
        </w:rPr>
        <w:t>胶带运输机</w:t>
      </w:r>
      <w:r>
        <w:rPr>
          <w:rFonts w:hint="eastAsia" w:ascii="宋体" w:hAnsi="宋体" w:eastAsia="宋体" w:cs="宋体"/>
          <w:b/>
          <w:bCs/>
          <w:w w:val="80"/>
          <w:sz w:val="44"/>
          <w:szCs w:val="44"/>
          <w:lang w:val="en-US" w:eastAsia="zh-CN"/>
        </w:rPr>
        <w:t>输送带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96"/>
          <w:szCs w:val="9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技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eastAsia="zh-CN"/>
        </w:rPr>
        <w:t>术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要</w:t>
      </w:r>
      <w:r>
        <w:rPr>
          <w:rFonts w:hint="eastAsia" w:ascii="宋体" w:hAnsi="宋体" w:cs="宋体"/>
          <w:b/>
          <w:bCs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84"/>
          <w:szCs w:val="84"/>
          <w:lang w:val="en-US" w:eastAsia="zh-CN"/>
        </w:rPr>
        <w:t>求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tabs>
          <w:tab w:val="left" w:pos="1227"/>
        </w:tabs>
        <w:jc w:val="center"/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审核方：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tabs>
          <w:tab w:val="left" w:pos="1227"/>
        </w:tabs>
        <w:jc w:val="center"/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</w:pP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20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22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年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月</w:t>
      </w:r>
      <w:r>
        <w:rPr>
          <w:rFonts w:hint="eastAsia" w:ascii="宋体" w:hAnsi="宋体"/>
          <w:b w:val="0"/>
          <w:bCs/>
          <w:color w:val="auto"/>
          <w:sz w:val="32"/>
          <w:szCs w:val="21"/>
          <w:u w:val="none" w:color="auto"/>
          <w:lang w:val="en-US" w:eastAsia="zh-CN"/>
        </w:rPr>
        <w:t>6</w:t>
      </w:r>
      <w:r>
        <w:rPr>
          <w:rFonts w:ascii="宋体" w:hAnsi="宋体"/>
          <w:b w:val="0"/>
          <w:bCs/>
          <w:color w:val="auto"/>
          <w:sz w:val="32"/>
          <w:szCs w:val="21"/>
          <w:u w:val="none" w:color="auto"/>
        </w:rPr>
        <w:t>日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right"/>
        <w:rPr>
          <w:rFonts w:hint="default" w:eastAsia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H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LW-2022-ZX-021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技 术 要 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审核方：内蒙古神东天隆集团股份有限公司机电动力部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 xml:space="preserve">               </w:t>
      </w:r>
    </w:p>
    <w:p>
      <w:pPr>
        <w:pStyle w:val="12"/>
        <w:ind w:left="0" w:leftChars="0" w:firstLine="643" w:firstLineChars="200"/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714"/>
        <w:gridCol w:w="1483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ind w:right="-63" w:rightChars="-3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名称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规格型号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资金来源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交（提）货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煤矿用钢丝绳芯阻燃输送带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ST/S1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0-1400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(8+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+6)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lang w:val="en-US" w:eastAsia="zh-CN"/>
              </w:rPr>
              <w:t>800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煤矿用钢丝绳芯阻燃输送带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ST/S1600-1400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(8+6+6)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橡胶面整芯阻燃输送带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PVG-B1400/2000S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</w:rPr>
              <w:t>(3+2)</w:t>
            </w:r>
          </w:p>
        </w:tc>
        <w:tc>
          <w:tcPr>
            <w:tcW w:w="5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米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600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2022年专项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Cs w:val="21"/>
                <w:lang w:val="en-US" w:eastAsia="zh-CN"/>
              </w:rPr>
              <w:t>霍洛湾煤矿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vanish/>
        </w:rPr>
      </w:pPr>
    </w:p>
    <w:p>
      <w:pPr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基本参数：</w:t>
      </w:r>
    </w:p>
    <w:p>
      <w:pPr>
        <w:widowControl/>
        <w:ind w:firstLine="640" w:firstLineChars="200"/>
        <w:jc w:val="both"/>
        <w:textAlignment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（一）煤矿用钢丝绳芯阻燃输送带 ST/S1250-1400(8+5+6)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1、宽度：1400mm；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纵向拉伸强度：1250N/mm；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3、工作面覆盖层厚度：8mm；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4、钢丝绳芯直径：5mm；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5、非工作面覆盖层厚度：6mm；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6、采用钢丝网防撕裂型；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7、提供硫化胶料；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8、每300米两卷，200米一卷。</w:t>
      </w:r>
    </w:p>
    <w:p>
      <w:pPr>
        <w:widowControl/>
        <w:jc w:val="center"/>
        <w:textAlignment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（二）煤矿用钢丝绳芯阻燃输送带 ST/S1600-1400(8+6+6)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1、宽度：1400mm；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纵向拉伸强度：1600N/mm；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3、工作面覆盖层厚度：8mm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4、钢丝绳芯直径：6mm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5、非工作面覆盖层厚度：6mm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6、采用钢丝网防撕裂型；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7、提供硫化胶料；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8、每卷200米。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（三）橡胶面整芯阻燃输送带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PVG-B1400/2000S(3+2)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1、宽度：1400mm；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32"/>
          <w:szCs w:val="32"/>
          <w:lang w:val="en-US" w:eastAsia="zh-CN" w:bidi="ar-SA"/>
        </w:rPr>
        <w:t>纵向拉伸强度：2000N/mm；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3、工作面覆盖层厚度：3mm；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4、非工作面覆盖层厚度：2mm；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5、每卷100米。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基本要求：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1、产品的生产制造符合相关国家标准或行业标准。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 914-2008 煤矿用织物整芯阻燃输送带</w:t>
      </w:r>
    </w:p>
    <w:p>
      <w:pPr>
        <w:pStyle w:val="9"/>
        <w:ind w:left="0" w:leftChars="0" w:firstLine="640" w:firstLineChars="20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MT/T 668-2019 煤矿用钢丝绳芯阻燃输送带</w:t>
      </w:r>
    </w:p>
    <w:p>
      <w:pPr>
        <w:pStyle w:val="9"/>
        <w:ind w:left="0" w:leftChars="0" w:firstLine="640" w:firstLineChars="20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2、取得煤矿矿用产品安全标志。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其他或环境要求：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1、产品提供煤矿矿用产品安全标志，每卷输送带要有出厂检验报告、产品合格证等；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2、每种型号输送带各提供5米用于检测，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供货方负责在甲方指定检测机构对输送带进行检测，提供检测报告，检测报告要明确注明出该批次产品为甲方在使用。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3、附带适用于供货输送带的硫化胶料，并在甲方指定日期供货。</w:t>
      </w:r>
    </w:p>
    <w:p>
      <w:pPr>
        <w:pStyle w:val="9"/>
        <w:ind w:left="638" w:leftChars="304" w:firstLine="0" w:firstLineChars="0"/>
        <w:rPr>
          <w:rFonts w:hint="default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4、考虑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  <w:lang w:val="en-US" w:eastAsia="zh-CN"/>
        </w:rPr>
        <w:t>硫化时同一产品相同材质更为可靠，为保障输送带硫化接头，建议采购与现使用输送带为相同材质产品。</w:t>
      </w:r>
    </w:p>
    <w:p>
      <w:pPr>
        <w:pStyle w:val="9"/>
        <w:numPr>
          <w:ilvl w:val="0"/>
          <w:numId w:val="1"/>
        </w:numPr>
        <w:ind w:left="-13" w:leftChars="0" w:firstLine="643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质量保证、付款方式及售后：</w:t>
      </w:r>
    </w:p>
    <w:p>
      <w:pPr>
        <w:pStyle w:val="9"/>
        <w:ind w:left="638" w:leftChars="304" w:firstLine="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质保期为到货后18个月或使用后1年，以先发生者为准。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（以下空白，无正文）</w:t>
      </w: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pStyle w:val="9"/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签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字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 xml:space="preserve"> 审 批 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页</w:t>
      </w:r>
    </w:p>
    <w:p>
      <w:pPr>
        <w:pStyle w:val="8"/>
        <w:rPr>
          <w:rFonts w:hint="eastAsia" w:asciiTheme="minorEastAsia" w:hAnsiTheme="minorEastAsia" w:eastAsiaTheme="minorEastAsia" w:cstheme="minorEastAsi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使用方（章）：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内蒙古神东天隆集团股份有限公司霍洛湾煤矿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审核方（章）：内蒙古神东天隆集团股份有限公司机电动力部</w:t>
      </w:r>
    </w:p>
    <w:p>
      <w:pPr>
        <w:pStyle w:val="8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0" w:hanging="9600" w:hangingChars="30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单位分管领导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审批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使用方小签：</w:t>
                          </w: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审核方小签：</w:t>
                          </w:r>
                        </w:p>
                      </w:txbxContent>
                    </wps:txbx>
                    <wps:bodyPr lIns="91439" tIns="45719" rIns="91439" bIns="45719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SlmjZAAAACwEAAA8AAAAAAAAAAQAgAAAAIgAAAGRycy9kb3du&#10;cmV2LnhtbFBLAQIUABQAAAAIAIdO4kAwLpwzxQEAAIIDAAAOAAAAAAAAAAEAIAAAACgBAABkcnMv&#10;ZTJvRG9jLnhtbFBLBQYAAAAABgAGAFkBAABfBQAAAAA=&#10;">
              <v:fill on="f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使用方小签：</w:t>
                    </w: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hM2U1MmFmN2VmMzVjMWMwNjA1ODkxNWIyOTM1ZDgifQ=="/>
  </w:docVars>
  <w:rsids>
    <w:rsidRoot w:val="29FF6835"/>
    <w:rsid w:val="004325CA"/>
    <w:rsid w:val="01D818F3"/>
    <w:rsid w:val="02131202"/>
    <w:rsid w:val="04F267CF"/>
    <w:rsid w:val="050E2864"/>
    <w:rsid w:val="05E41B37"/>
    <w:rsid w:val="0A370907"/>
    <w:rsid w:val="11560818"/>
    <w:rsid w:val="1B915FA6"/>
    <w:rsid w:val="1BAC616E"/>
    <w:rsid w:val="23851FDE"/>
    <w:rsid w:val="285A4D71"/>
    <w:rsid w:val="29FF6835"/>
    <w:rsid w:val="32134E86"/>
    <w:rsid w:val="34F532B5"/>
    <w:rsid w:val="394C5C67"/>
    <w:rsid w:val="41547375"/>
    <w:rsid w:val="4F3D014B"/>
    <w:rsid w:val="514813E1"/>
    <w:rsid w:val="5CB21778"/>
    <w:rsid w:val="60A90AB6"/>
    <w:rsid w:val="62C5556D"/>
    <w:rsid w:val="64834D3B"/>
    <w:rsid w:val="6A4916C3"/>
    <w:rsid w:val="6D956F5E"/>
    <w:rsid w:val="6F312BDD"/>
    <w:rsid w:val="7C00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oc 2"/>
    <w:basedOn w:val="1"/>
    <w:next w:val="1"/>
    <w:qFormat/>
    <w:uiPriority w:val="0"/>
    <w:pPr>
      <w:ind w:left="200" w:leftChars="200"/>
    </w:p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封面"/>
    </customSectPr>
    <customSectPr>
      <sectNamePr val="正文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940</Words>
  <Characters>1176</Characters>
  <Lines>0</Lines>
  <Paragraphs>0</Paragraphs>
  <TotalTime>28</TotalTime>
  <ScaleCrop>false</ScaleCrop>
  <LinksUpToDate>false</LinksUpToDate>
  <CharactersWithSpaces>1346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2021-08-31T06:20:00Z</dcterms:created>
  <dc:creator>赵耀</dc:creator>
  <cp:lastModifiedBy>Administrator</cp:lastModifiedBy>
  <cp:lastPrinted>2021-08-31T08:49:00Z</cp:lastPrinted>
  <dcterms:modified xsi:type="dcterms:W3CDTF">2022-06-06T11:52:02Z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