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"/>
        </w:tabs>
        <w:ind w:left="421" w:leftChars="0" w:hanging="421" w:hangingChars="131"/>
        <w:jc w:val="right"/>
        <w:rPr>
          <w:rFonts w:hint="default" w:ascii="宋体" w:hAnsi="宋体"/>
          <w:b/>
          <w:bCs w:val="0"/>
          <w:sz w:val="72"/>
          <w:szCs w:val="72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>编号：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HLW-2022-ZX-029</w:t>
      </w:r>
    </w:p>
    <w:p>
      <w:pPr>
        <w:ind w:left="420"/>
        <w:jc w:val="center"/>
        <w:rPr>
          <w:rFonts w:hint="eastAsia" w:ascii="宋体" w:hAnsi="宋体"/>
          <w:b/>
          <w:bCs w:val="0"/>
          <w:sz w:val="72"/>
          <w:szCs w:val="72"/>
          <w:lang w:eastAsia="zh-CN"/>
        </w:rPr>
      </w:pPr>
    </w:p>
    <w:p>
      <w:pPr>
        <w:ind w:left="420"/>
        <w:jc w:val="center"/>
        <w:rPr>
          <w:rFonts w:hint="eastAsia" w:ascii="宋体" w:hAnsi="宋体"/>
          <w:b/>
          <w:bCs w:val="0"/>
          <w:sz w:val="44"/>
          <w:szCs w:val="44"/>
          <w:lang w:eastAsia="zh-CN"/>
        </w:rPr>
      </w:pPr>
    </w:p>
    <w:p>
      <w:pPr>
        <w:ind w:left="420"/>
        <w:jc w:val="center"/>
        <w:rPr>
          <w:rFonts w:hint="eastAsia" w:ascii="宋体" w:hAnsi="宋体"/>
          <w:b/>
          <w:bCs w:val="0"/>
          <w:sz w:val="44"/>
          <w:szCs w:val="44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highlight w:val="none"/>
          <w:lang w:val="en-US" w:eastAsia="zh-CN"/>
        </w:rPr>
        <w:t>内蒙古</w:t>
      </w:r>
      <w:r>
        <w:rPr>
          <w:rFonts w:hint="eastAsia" w:ascii="宋体" w:hAnsi="宋体" w:eastAsia="宋体" w:cs="宋体"/>
          <w:b/>
          <w:bCs/>
          <w:sz w:val="44"/>
          <w:szCs w:val="44"/>
          <w:highlight w:val="none"/>
          <w:lang w:eastAsia="zh-CN"/>
        </w:rPr>
        <w:t>神东天隆集团</w:t>
      </w:r>
      <w:r>
        <w:rPr>
          <w:rFonts w:hint="eastAsia" w:ascii="宋体" w:hAnsi="宋体" w:eastAsia="宋体" w:cs="宋体"/>
          <w:b/>
          <w:bCs/>
          <w:sz w:val="44"/>
          <w:szCs w:val="44"/>
          <w:highlight w:val="none"/>
          <w:lang w:val="en-US" w:eastAsia="zh-CN"/>
        </w:rPr>
        <w:t>股份</w:t>
      </w:r>
      <w:r>
        <w:rPr>
          <w:rFonts w:hint="eastAsia" w:ascii="宋体" w:hAnsi="宋体" w:eastAsia="宋体" w:cs="宋体"/>
          <w:b/>
          <w:bCs/>
          <w:sz w:val="44"/>
          <w:szCs w:val="44"/>
          <w:highlight w:val="none"/>
          <w:lang w:eastAsia="zh-CN"/>
        </w:rPr>
        <w:t>有限公司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highlight w:val="none"/>
          <w:lang w:eastAsia="zh-CN"/>
        </w:rPr>
        <w:t>霍洛湾煤矿</w:t>
      </w:r>
    </w:p>
    <w:p>
      <w:pPr>
        <w:jc w:val="center"/>
        <w:rPr>
          <w:rFonts w:hint="default" w:ascii="宋体" w:hAnsi="宋体" w:eastAsia="宋体" w:cs="宋体"/>
          <w:b/>
          <w:bCs/>
          <w:w w:val="80"/>
          <w:sz w:val="44"/>
          <w:szCs w:val="4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w w:val="80"/>
          <w:sz w:val="44"/>
          <w:szCs w:val="44"/>
          <w:highlight w:val="none"/>
          <w:lang w:val="en-US" w:eastAsia="zh-CN"/>
        </w:rPr>
        <w:t>关于购置</w:t>
      </w:r>
      <w:r>
        <w:rPr>
          <w:rFonts w:hint="eastAsia" w:ascii="宋体" w:hAnsi="宋体" w:cs="宋体"/>
          <w:b/>
          <w:bCs/>
          <w:w w:val="80"/>
          <w:sz w:val="44"/>
          <w:szCs w:val="44"/>
          <w:highlight w:val="none"/>
          <w:lang w:val="en-US" w:eastAsia="zh-CN"/>
        </w:rPr>
        <w:t>电锅炉变配电设备</w:t>
      </w:r>
    </w:p>
    <w:p>
      <w:pPr>
        <w:jc w:val="center"/>
        <w:rPr>
          <w:rFonts w:hint="eastAsia" w:ascii="宋体" w:hAnsi="宋体" w:eastAsia="宋体" w:cs="宋体"/>
          <w:b/>
          <w:bCs/>
          <w:w w:val="80"/>
          <w:sz w:val="36"/>
          <w:szCs w:val="36"/>
          <w:highlight w:val="none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w w:val="80"/>
          <w:sz w:val="36"/>
          <w:szCs w:val="36"/>
          <w:highlight w:val="none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sz w:val="36"/>
          <w:szCs w:val="36"/>
          <w:highlight w:val="none"/>
        </w:rPr>
      </w:pPr>
    </w:p>
    <w:p>
      <w:pPr>
        <w:jc w:val="center"/>
        <w:rPr>
          <w:rFonts w:hint="eastAsia" w:ascii="宋体" w:hAnsi="宋体" w:eastAsia="宋体" w:cs="宋体"/>
          <w:b/>
          <w:sz w:val="36"/>
          <w:szCs w:val="36"/>
          <w:highlight w:val="none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sz w:val="96"/>
          <w:szCs w:val="96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84"/>
          <w:szCs w:val="84"/>
          <w:highlight w:val="none"/>
          <w:lang w:eastAsia="zh-CN"/>
        </w:rPr>
        <w:t>技</w:t>
      </w:r>
      <w:r>
        <w:rPr>
          <w:rFonts w:hint="eastAsia" w:ascii="宋体" w:hAnsi="宋体" w:cs="宋体"/>
          <w:b/>
          <w:bCs w:val="0"/>
          <w:sz w:val="84"/>
          <w:szCs w:val="8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84"/>
          <w:szCs w:val="84"/>
          <w:highlight w:val="none"/>
          <w:lang w:eastAsia="zh-CN"/>
        </w:rPr>
        <w:t>术</w:t>
      </w:r>
      <w:r>
        <w:rPr>
          <w:rFonts w:hint="eastAsia" w:ascii="宋体" w:hAnsi="宋体" w:cs="宋体"/>
          <w:b/>
          <w:bCs w:val="0"/>
          <w:sz w:val="84"/>
          <w:szCs w:val="8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84"/>
          <w:szCs w:val="84"/>
          <w:highlight w:val="none"/>
          <w:lang w:val="en-US" w:eastAsia="zh-CN"/>
        </w:rPr>
        <w:t>要</w:t>
      </w:r>
      <w:r>
        <w:rPr>
          <w:rFonts w:hint="eastAsia" w:ascii="宋体" w:hAnsi="宋体" w:cs="宋体"/>
          <w:b/>
          <w:bCs w:val="0"/>
          <w:sz w:val="84"/>
          <w:szCs w:val="8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84"/>
          <w:szCs w:val="84"/>
          <w:highlight w:val="none"/>
          <w:lang w:val="en-US" w:eastAsia="zh-CN"/>
        </w:rPr>
        <w:t>求</w:t>
      </w:r>
    </w:p>
    <w:p>
      <w:pPr>
        <w:jc w:val="center"/>
        <w:rPr>
          <w:rFonts w:hint="eastAsia" w:ascii="宋体" w:hAnsi="宋体" w:eastAsia="宋体" w:cs="宋体"/>
          <w:b/>
          <w:sz w:val="32"/>
          <w:szCs w:val="32"/>
          <w:highlight w:val="none"/>
        </w:rPr>
      </w:pPr>
    </w:p>
    <w:p>
      <w:pPr>
        <w:tabs>
          <w:tab w:val="left" w:pos="1227"/>
        </w:tabs>
        <w:jc w:val="center"/>
        <w:rPr>
          <w:rFonts w:hint="eastAsia" w:ascii="宋体" w:hAnsi="宋体" w:eastAsia="宋体" w:cs="宋体"/>
          <w:b/>
          <w:sz w:val="32"/>
          <w:szCs w:val="32"/>
          <w:highlight w:val="none"/>
        </w:rPr>
      </w:pPr>
    </w:p>
    <w:p>
      <w:pPr>
        <w:tabs>
          <w:tab w:val="left" w:pos="1227"/>
        </w:tabs>
        <w:jc w:val="center"/>
        <w:rPr>
          <w:rFonts w:hint="eastAsia" w:ascii="宋体" w:hAnsi="宋体" w:eastAsia="宋体" w:cs="宋体"/>
          <w:b/>
          <w:sz w:val="32"/>
          <w:szCs w:val="32"/>
          <w:highlight w:val="none"/>
        </w:rPr>
      </w:pPr>
    </w:p>
    <w:p>
      <w:pPr>
        <w:tabs>
          <w:tab w:val="left" w:pos="1227"/>
        </w:tabs>
        <w:jc w:val="center"/>
        <w:rPr>
          <w:rFonts w:hint="eastAsia" w:ascii="宋体" w:hAnsi="宋体" w:eastAsia="宋体" w:cs="宋体"/>
          <w:b/>
          <w:sz w:val="32"/>
          <w:szCs w:val="32"/>
          <w:highlight w:val="none"/>
        </w:rPr>
      </w:pPr>
    </w:p>
    <w:p>
      <w:pPr>
        <w:tabs>
          <w:tab w:val="left" w:pos="1227"/>
        </w:tabs>
        <w:jc w:val="center"/>
        <w:rPr>
          <w:rFonts w:hint="eastAsia" w:ascii="宋体" w:hAnsi="宋体" w:eastAsia="宋体" w:cs="宋体"/>
          <w:b/>
          <w:sz w:val="32"/>
          <w:szCs w:val="32"/>
          <w:highlight w:val="none"/>
          <w:lang w:eastAsia="zh-CN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sz w:val="32"/>
          <w:szCs w:val="21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highlight w:val="none"/>
          <w:lang w:val="en-US" w:eastAsia="zh-CN"/>
        </w:rPr>
        <w:t>使用方：</w:t>
      </w:r>
      <w:r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</w:rPr>
        <w:t>内蒙古神东天隆集团股份有限公司霍洛湾煤矿</w:t>
      </w:r>
    </w:p>
    <w:p>
      <w:pPr>
        <w:jc w:val="center"/>
        <w:rPr>
          <w:rFonts w:hint="eastAsia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highlight w:val="none"/>
          <w:lang w:val="en-US" w:eastAsia="zh-CN"/>
        </w:rPr>
        <w:t>审核方：</w:t>
      </w:r>
      <w:r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  <w:lang w:val="en-US" w:eastAsia="zh-CN"/>
        </w:rPr>
        <w:t>内蒙古神东天隆集团股份有限公司机电动力部</w:t>
      </w:r>
      <w:r>
        <w:rPr>
          <w:rFonts w:hint="eastAsia" w:asciiTheme="minorEastAsia" w:hAnsiTheme="minorEastAsia" w:eastAsiaTheme="minorEastAsia" w:cstheme="minorEastAsia"/>
          <w:color w:val="000000"/>
          <w:szCs w:val="21"/>
          <w:highlight w:val="none"/>
        </w:rPr>
        <w:t xml:space="preserve">     </w:t>
      </w:r>
      <w:r>
        <w:rPr>
          <w:rFonts w:hint="eastAsia"/>
          <w:sz w:val="30"/>
          <w:szCs w:val="30"/>
          <w:highlight w:val="none"/>
          <w:lang w:val="en-US" w:eastAsia="zh-CN"/>
        </w:rPr>
        <w:t xml:space="preserve">                                </w:t>
      </w:r>
      <w:r>
        <w:rPr>
          <w:rFonts w:hint="eastAsia"/>
          <w:sz w:val="32"/>
          <w:szCs w:val="32"/>
          <w:highlight w:val="none"/>
          <w:lang w:val="en-US" w:eastAsia="zh-CN"/>
        </w:rPr>
        <w:t xml:space="preserve"> </w:t>
      </w:r>
    </w:p>
    <w:p>
      <w:pPr>
        <w:tabs>
          <w:tab w:val="left" w:pos="1227"/>
        </w:tabs>
        <w:jc w:val="center"/>
        <w:rPr>
          <w:rFonts w:ascii="宋体" w:hAnsi="宋体"/>
          <w:b w:val="0"/>
          <w:bCs/>
          <w:color w:val="auto"/>
          <w:sz w:val="32"/>
          <w:szCs w:val="21"/>
          <w:highlight w:val="none"/>
          <w:u w:val="none" w:color="auto"/>
        </w:rPr>
      </w:pPr>
      <w:r>
        <w:rPr>
          <w:rFonts w:ascii="宋体" w:hAnsi="宋体"/>
          <w:b w:val="0"/>
          <w:bCs/>
          <w:color w:val="auto"/>
          <w:sz w:val="32"/>
          <w:szCs w:val="21"/>
          <w:highlight w:val="none"/>
          <w:u w:val="none" w:color="auto"/>
        </w:rPr>
        <w:t>20</w:t>
      </w:r>
      <w:r>
        <w:rPr>
          <w:rFonts w:hint="eastAsia" w:ascii="宋体" w:hAnsi="宋体"/>
          <w:b w:val="0"/>
          <w:bCs/>
          <w:color w:val="auto"/>
          <w:sz w:val="32"/>
          <w:szCs w:val="21"/>
          <w:highlight w:val="none"/>
          <w:u w:val="none" w:color="auto"/>
          <w:lang w:val="en-US" w:eastAsia="zh-CN"/>
        </w:rPr>
        <w:t>22</w:t>
      </w:r>
      <w:r>
        <w:rPr>
          <w:rFonts w:ascii="宋体" w:hAnsi="宋体"/>
          <w:b w:val="0"/>
          <w:bCs/>
          <w:color w:val="auto"/>
          <w:sz w:val="32"/>
          <w:szCs w:val="21"/>
          <w:highlight w:val="none"/>
          <w:u w:val="none" w:color="auto"/>
        </w:rPr>
        <w:t>年</w:t>
      </w:r>
      <w:r>
        <w:rPr>
          <w:rFonts w:hint="eastAsia" w:ascii="宋体" w:hAnsi="宋体"/>
          <w:b w:val="0"/>
          <w:bCs/>
          <w:color w:val="auto"/>
          <w:sz w:val="32"/>
          <w:szCs w:val="21"/>
          <w:highlight w:val="none"/>
          <w:u w:val="none" w:color="auto"/>
          <w:lang w:val="en-US" w:eastAsia="zh-CN"/>
        </w:rPr>
        <w:t>6</w:t>
      </w:r>
      <w:r>
        <w:rPr>
          <w:rFonts w:ascii="宋体" w:hAnsi="宋体"/>
          <w:b w:val="0"/>
          <w:bCs/>
          <w:color w:val="auto"/>
          <w:sz w:val="32"/>
          <w:szCs w:val="21"/>
          <w:highlight w:val="none"/>
          <w:u w:val="none" w:color="auto"/>
        </w:rPr>
        <w:t>月</w:t>
      </w:r>
      <w:r>
        <w:rPr>
          <w:rFonts w:hint="eastAsia" w:ascii="宋体" w:hAnsi="宋体"/>
          <w:b w:val="0"/>
          <w:bCs/>
          <w:color w:val="auto"/>
          <w:sz w:val="32"/>
          <w:szCs w:val="21"/>
          <w:highlight w:val="none"/>
          <w:u w:val="none" w:color="auto"/>
          <w:lang w:val="en-US" w:eastAsia="zh-CN"/>
        </w:rPr>
        <w:t>6</w:t>
      </w:r>
      <w:bookmarkStart w:id="0" w:name="_GoBack"/>
      <w:bookmarkEnd w:id="0"/>
      <w:r>
        <w:rPr>
          <w:rFonts w:ascii="宋体" w:hAnsi="宋体"/>
          <w:b w:val="0"/>
          <w:bCs/>
          <w:color w:val="auto"/>
          <w:sz w:val="32"/>
          <w:szCs w:val="21"/>
          <w:highlight w:val="none"/>
          <w:u w:val="none" w:color="auto"/>
        </w:rPr>
        <w:t>日</w:t>
      </w:r>
    </w:p>
    <w:p>
      <w:pPr>
        <w:jc w:val="both"/>
        <w:rPr>
          <w:rFonts w:hint="eastAsia"/>
          <w:sz w:val="32"/>
          <w:szCs w:val="32"/>
          <w:highlight w:val="none"/>
          <w:lang w:val="en-US" w:eastAsia="zh-CN"/>
        </w:rPr>
      </w:pPr>
    </w:p>
    <w:p>
      <w:pPr>
        <w:jc w:val="center"/>
        <w:rPr>
          <w:rFonts w:hint="eastAsia" w:ascii="宋体" w:hAnsi="宋体" w:cs="宋体"/>
          <w:color w:val="auto"/>
          <w:sz w:val="32"/>
          <w:szCs w:val="32"/>
          <w:highlight w:val="none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jc w:val="right"/>
        <w:rPr>
          <w:rFonts w:hint="default" w:eastAsia="黑体"/>
          <w:color w:val="FF000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highlight w:val="none"/>
        </w:rPr>
        <w:t>编号：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highlight w:val="none"/>
          <w:lang w:val="en-US" w:eastAsia="zh-CN"/>
        </w:rPr>
        <w:t>HLW-2022-ZX-029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hint="eastAsia" w:asciiTheme="majorEastAsia" w:hAnsiTheme="majorEastAsia" w:eastAsiaTheme="majorEastAsia" w:cstheme="majorEastAsia"/>
          <w:sz w:val="36"/>
          <w:szCs w:val="36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highlight w:val="none"/>
          <w:lang w:val="en-US" w:eastAsia="zh-CN"/>
        </w:rPr>
        <w:t>技 术 要 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  <w:lang w:val="en-US" w:eastAsia="zh-CN"/>
        </w:rPr>
        <w:t>使用方：</w:t>
      </w:r>
      <w:r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</w:rPr>
        <w:t>内蒙古神东天隆集团股份有限公司霍洛湾煤矿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color w:val="000000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  <w:lang w:val="en-US" w:eastAsia="zh-CN"/>
        </w:rPr>
        <w:t>审核方：内蒙古神东天隆集团股份有限公司机电动力部</w:t>
      </w:r>
      <w:r>
        <w:rPr>
          <w:rFonts w:hint="eastAsia" w:asciiTheme="minorEastAsia" w:hAnsiTheme="minorEastAsia" w:eastAsiaTheme="minorEastAsia" w:cstheme="minorEastAsia"/>
          <w:color w:val="000000"/>
          <w:szCs w:val="21"/>
          <w:highlight w:val="none"/>
        </w:rPr>
        <w:t xml:space="preserve">               </w:t>
      </w:r>
    </w:p>
    <w:p>
      <w:pPr>
        <w:pStyle w:val="12"/>
        <w:ind w:left="0" w:leftChars="0" w:firstLine="643" w:firstLineChars="200"/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highlight w:val="none"/>
          <w:lang w:val="en-US" w:eastAsia="zh-CN"/>
        </w:rPr>
        <w:t>一、基本信息：</w:t>
      </w:r>
    </w:p>
    <w:tbl>
      <w:tblPr>
        <w:tblStyle w:val="10"/>
        <w:tblW w:w="97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6"/>
        <w:gridCol w:w="2287"/>
        <w:gridCol w:w="550"/>
        <w:gridCol w:w="780"/>
        <w:gridCol w:w="1715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ind w:right="-63" w:rightChars="-3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  <w:highlight w:val="none"/>
              </w:rPr>
              <w:t>名称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  <w:highlight w:val="none"/>
              </w:rPr>
              <w:t>规格型号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  <w:highlight w:val="none"/>
              </w:rPr>
              <w:t>单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  <w:highlight w:val="none"/>
              </w:rPr>
              <w:t>位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  <w:highlight w:val="none"/>
              </w:rPr>
              <w:t>数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  <w:highlight w:val="none"/>
              </w:rPr>
              <w:t>量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  <w:highlight w:val="none"/>
              </w:rPr>
              <w:t>资金来源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  <w:highlight w:val="none"/>
              </w:rPr>
              <w:t>交（提）货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  <w:highlight w:val="none"/>
              </w:rPr>
              <w:t>时间及地点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highlight w:val="none"/>
                <w:lang w:val="en-US" w:eastAsia="zh-CN"/>
              </w:rPr>
              <w:t>高压开关柜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highlight w:val="none"/>
                <w:lang w:val="en-US" w:eastAsia="zh-CN"/>
              </w:rPr>
              <w:t>KYGC-Z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highlight w:val="none"/>
                <w:lang w:val="en-US" w:eastAsia="zh-CN"/>
              </w:rPr>
              <w:t>台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2022年专项资金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霍洛湾煤矿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highlight w:val="none"/>
                <w:lang w:val="en-US" w:eastAsia="zh-CN"/>
              </w:rPr>
              <w:t>干式变压器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highlight w:val="none"/>
                <w:lang w:val="en-US" w:eastAsia="zh-CN"/>
              </w:rPr>
              <w:t>SCB13-5000/10/0.4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highlight w:val="none"/>
                <w:lang w:val="en-US" w:eastAsia="zh-CN"/>
              </w:rPr>
              <w:t>台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2022年专项资金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霍洛湾煤矿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highlight w:val="none"/>
                <w:lang w:val="en-US" w:eastAsia="zh-CN"/>
              </w:rPr>
              <w:t>低压柜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highlight w:val="none"/>
                <w:lang w:val="en-US" w:eastAsia="zh-CN"/>
              </w:rPr>
              <w:t>台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2022年专项资金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霍洛湾煤矿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vanish/>
          <w:highlight w:val="none"/>
        </w:rPr>
      </w:pPr>
    </w:p>
    <w:p>
      <w:pPr>
        <w:numPr>
          <w:ilvl w:val="0"/>
          <w:numId w:val="1"/>
        </w:numPr>
        <w:ind w:left="-13" w:leftChars="0" w:firstLine="643" w:firstLineChars="0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highlight w:val="none"/>
          <w:lang w:val="en-US" w:eastAsia="zh-CN"/>
        </w:rPr>
        <w:t>基本参数：</w:t>
      </w:r>
    </w:p>
    <w:p>
      <w:pPr>
        <w:pStyle w:val="9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（一）干式变压器：</w:t>
      </w:r>
    </w:p>
    <w:p>
      <w:pPr>
        <w:pStyle w:val="9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型号：SCB13-5000/10/0.4；</w:t>
      </w:r>
    </w:p>
    <w:p>
      <w:pPr>
        <w:pStyle w:val="9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电压等级：10kV/0.4kV。</w:t>
      </w:r>
    </w:p>
    <w:p>
      <w:pPr>
        <w:pStyle w:val="9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（二）高压开关柜：</w:t>
      </w:r>
    </w:p>
    <w:p>
      <w:pPr>
        <w:pStyle w:val="9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型号：KYGC-Z；</w:t>
      </w:r>
    </w:p>
    <w:p>
      <w:pPr>
        <w:pStyle w:val="9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电压等级：10kV；</w:t>
      </w:r>
    </w:p>
    <w:p>
      <w:pPr>
        <w:pStyle w:val="9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型式：馈出柜。</w:t>
      </w:r>
    </w:p>
    <w:p>
      <w:pPr>
        <w:pStyle w:val="9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（三）低压开关柜：</w:t>
      </w:r>
    </w:p>
    <w:p>
      <w:pPr>
        <w:pStyle w:val="9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电压等级：380V；</w:t>
      </w:r>
    </w:p>
    <w:p>
      <w:pPr>
        <w:pStyle w:val="9"/>
        <w:ind w:left="0" w:leftChars="0" w:firstLine="640" w:firstLineChars="200"/>
        <w:rPr>
          <w:rFonts w:hint="default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型式：电源柜2台，联络柜1台，馈出柜6台。</w:t>
      </w:r>
    </w:p>
    <w:p>
      <w:pPr>
        <w:pStyle w:val="9"/>
        <w:numPr>
          <w:ilvl w:val="0"/>
          <w:numId w:val="1"/>
        </w:numPr>
        <w:ind w:left="-13" w:leftChars="0" w:firstLine="643" w:firstLineChars="0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highlight w:val="none"/>
          <w:lang w:val="en-US" w:eastAsia="zh-CN"/>
        </w:rPr>
        <w:t>基本要求：</w:t>
      </w:r>
    </w:p>
    <w:p>
      <w:pPr>
        <w:pStyle w:val="9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产品的生产制造符合相关国家标准和行业标准</w:t>
      </w:r>
    </w:p>
    <w:p>
      <w:pPr>
        <w:pStyle w:val="9"/>
        <w:ind w:left="0" w:leftChars="0" w:firstLine="640" w:firstLineChars="200"/>
        <w:rPr>
          <w:rFonts w:hint="default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（一）高压开关柜</w:t>
      </w:r>
    </w:p>
    <w:p>
      <w:pPr>
        <w:pStyle w:val="9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1、厂家所用的主要元件型号配置，与霍洛湾煤矿现用无锡军工一致。厂家提供10KV高压开关柜系统图，并经矿方审核同意后实施。</w:t>
      </w:r>
    </w:p>
    <w:p>
      <w:pPr>
        <w:pStyle w:val="9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2、开关柜的防护等级为：外壳IP54级；颜色:米灰色。开关柜的体积小巧轻便，外形尺寸：高1700mm×宽770mm×深1140mm。</w:t>
      </w:r>
    </w:p>
    <w:p>
      <w:pPr>
        <w:pStyle w:val="9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3、开关柜采用手车式落地门，自设手车导轨，手车进出灵活、方便，能实现开门断电的联锁要求；柜内高压一次元器件必须与二次仪表室隔离，且必须装设完善可靠的机械和电气联锁，操作顺序严格符合“五防”要求。</w:t>
      </w:r>
    </w:p>
    <w:p>
      <w:pPr>
        <w:pStyle w:val="9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4、手车式开关柜内真空断路器、电流互感器、电压互感器、控制变压器等主要一次元件均装设在手车上；在维护一次高压元件时，无需停上一级电源且不影响旁柜的正常工作；手车具有良好的互接性。</w:t>
      </w:r>
    </w:p>
    <w:p>
      <w:pPr>
        <w:pStyle w:val="9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5、馈出采用微机保护，具有过流、速断、失压、漏电、过电压等保护；</w:t>
      </w:r>
    </w:p>
    <w:p>
      <w:pPr>
        <w:pStyle w:val="9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6、开关柜断路器辅助接点应与主触头同步，闭合应可靠牢固，断开应有足够的距离。</w:t>
      </w:r>
    </w:p>
    <w:p>
      <w:pPr>
        <w:pStyle w:val="9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7、柜内的一次绝缘件采用SMC高绝缘性能材料制成，具有可靠的绝缘性能和机械强度。</w:t>
      </w:r>
    </w:p>
    <w:p>
      <w:pPr>
        <w:pStyle w:val="9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8、断路器及其操作机构：</w:t>
      </w:r>
    </w:p>
    <w:p>
      <w:pPr>
        <w:pStyle w:val="9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 xml:space="preserve">（1）电气操作的断路器均应有就地跳、合闸的操作设施，当断路器在就地试验和断开位置时断路器的远方操作回路被闭锁 ；  </w:t>
      </w:r>
    </w:p>
    <w:p>
      <w:pPr>
        <w:pStyle w:val="9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（2）断路器的操作机构在任何状态下都可以电气和机械跳闸；</w:t>
      </w:r>
    </w:p>
    <w:p>
      <w:pPr>
        <w:pStyle w:val="9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（3）所有操作机构和辅助开关的接线除有特殊要求外，均采用相同接线。</w:t>
      </w:r>
    </w:p>
    <w:p>
      <w:pPr>
        <w:pStyle w:val="9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9、所有母线应满足以下要求：</w:t>
      </w:r>
    </w:p>
    <w:p>
      <w:pPr>
        <w:pStyle w:val="9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（1）所有用螺栓固定的母线导体接头均采用镀锡。在长期使用期间，从标准环境温度到额定满负荷温度，固定螺栓的初始压力值不应降低。每个连接点不应小于两个螺栓。</w:t>
      </w:r>
    </w:p>
    <w:p>
      <w:pPr>
        <w:pStyle w:val="9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（2）母线应有标明相别的颜色，A、B、C相分别黄、绿、红色．</w:t>
      </w:r>
    </w:p>
    <w:p>
      <w:pPr>
        <w:pStyle w:val="9"/>
        <w:ind w:left="0" w:leftChars="0" w:firstLine="640" w:firstLineChars="200"/>
        <w:rPr>
          <w:rFonts w:hint="default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（3）提供现场安装所需要的母排，根据设备布置预留柜体侧面母排接线口，终端柜体封闭。</w:t>
      </w:r>
    </w:p>
    <w:p>
      <w:pPr>
        <w:pStyle w:val="9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10、本工程开关柜为单列布置。</w:t>
      </w:r>
    </w:p>
    <w:p>
      <w:pPr>
        <w:pStyle w:val="9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11、电流互感器二次线圈按设计要求在端子排进行连接，除有特殊要求外二次侧接地均在本柜的端子排接地，接地导线分别接到开关柜的接地线上，电流互感器端子用试验型端子，电流互感器的布置便于维护、调试和检修。</w:t>
      </w:r>
    </w:p>
    <w:p>
      <w:pPr>
        <w:pStyle w:val="9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12、控制回路接线：</w:t>
      </w:r>
    </w:p>
    <w:p>
      <w:pPr>
        <w:pStyle w:val="9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控制信号和保护回路的连接线用铜线，最小截面不小于1.5平方毫米，电流互感器二次侧引到端子的连线用铜线，最小截面不小于2.5平方毫米。所有导线均应牢固地加紧，设备端子均有标字牌，对外引接电缆的端子均通过端子排，静态装置和强电二次回路的导线应尽量分开在不同导线槽内引接，每排留有5％的备用端子。每个端子只接一根导线，内部连线可以接两根导线。导线均选用交联聚乙烯绝缘,电压不小于500V的铜绞线。</w:t>
      </w:r>
    </w:p>
    <w:p>
      <w:pPr>
        <w:pStyle w:val="9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柜内易发热的元件，如电阻等应有隔热措施。</w:t>
      </w:r>
    </w:p>
    <w:p>
      <w:pPr>
        <w:pStyle w:val="9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13、电缆室：</w:t>
      </w:r>
    </w:p>
    <w:p>
      <w:pPr>
        <w:pStyle w:val="9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电缆室应位于柜体后下部。电缆室内设有电缆连接导体可以同时并接2根电缆，在电缆室内底部应配制可卸的板，以确保现场施工方便。</w:t>
      </w:r>
    </w:p>
    <w:p>
      <w:pPr>
        <w:pStyle w:val="9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14、开关柜供方应考虑提供便于起吊的吊环。</w:t>
      </w:r>
    </w:p>
    <w:p>
      <w:pPr>
        <w:pStyle w:val="9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15、厂家随开关柜配贯穿母排及所有连接辅件。</w:t>
      </w:r>
    </w:p>
    <w:p>
      <w:pPr>
        <w:pStyle w:val="9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（二）变压器</w:t>
      </w:r>
    </w:p>
    <w:p>
      <w:pPr>
        <w:pStyle w:val="9"/>
        <w:ind w:left="0" w:leftChars="0" w:firstLine="640" w:firstLineChars="200"/>
        <w:rPr>
          <w:rFonts w:hint="default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1、变压器为室内箱式变压器（干式），变压器室与低压配电室分别布置，母线通过穿墙孔与低压柜连接。</w:t>
      </w:r>
    </w:p>
    <w:p>
      <w:pPr>
        <w:pStyle w:val="9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2、变压器与低压柜采用铜排母线连接，采用三相五线制供电，母线相线额定电流不低于5000A，零线、地线额定电流2000A。</w:t>
      </w:r>
    </w:p>
    <w:p>
      <w:pPr>
        <w:pStyle w:val="9"/>
        <w:ind w:left="0" w:leftChars="0" w:firstLine="640" w:firstLineChars="200"/>
        <w:rPr>
          <w:rFonts w:hint="default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3、箱式变压器要具备温控和排风系统；</w:t>
      </w:r>
    </w:p>
    <w:p>
      <w:pPr>
        <w:pStyle w:val="9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4、所有用螺栓固定的母线导体接头均采用镀锡。在长期使用期间，从标准环境温度到额定满负荷温度，固定螺栓的初始压力值不应降低。每个连接点不应小于两个螺栓。</w:t>
      </w:r>
    </w:p>
    <w:p>
      <w:pPr>
        <w:pStyle w:val="9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5、母线应有标明相别的颜色，A、B、C相分别黄、绿、红色。</w:t>
      </w:r>
    </w:p>
    <w:p>
      <w:pPr>
        <w:pStyle w:val="9"/>
        <w:ind w:left="0" w:leftChars="0" w:firstLine="640" w:firstLineChars="200"/>
        <w:rPr>
          <w:rFonts w:hint="default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（三）低压柜</w:t>
      </w:r>
    </w:p>
    <w:p>
      <w:pPr>
        <w:pStyle w:val="9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1、防护等级为：外壳IP65级；颜色:米灰色。</w:t>
      </w:r>
    </w:p>
    <w:p>
      <w:pPr>
        <w:pStyle w:val="9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2、水平母线相线额定电流不低于5000A，零线、地线额定电流2000A，垂直母线额定电流2000A，母线应有标明相别的颜色，A、B、C相分别黄、绿、红色。</w:t>
      </w:r>
    </w:p>
    <w:p>
      <w:pPr>
        <w:pStyle w:val="9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3、电源柜与联络柜按照额定电流5000A适配断路器、互感器等。</w:t>
      </w:r>
    </w:p>
    <w:p>
      <w:pPr>
        <w:pStyle w:val="9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4、馈出柜与联络柜输出4回路截面积为185mm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vertAlign w:val="superscript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的电力电缆，安装四回路断路器，断路器需具有短路、过载、欠压、过压、漏电保护等齐全的保护功能。</w:t>
      </w:r>
    </w:p>
    <w:p>
      <w:pPr>
        <w:pStyle w:val="9"/>
        <w:ind w:left="0" w:leftChars="0" w:firstLine="640" w:firstLineChars="200"/>
        <w:rPr>
          <w:rFonts w:hint="default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5、中标方根据用户方的负荷容量选配馈出柜的断路器、互感器等，每台馈出柜负荷约为800kW（四回路合计功率），负荷类别为半导体式电加热设备。</w:t>
      </w:r>
    </w:p>
    <w:p>
      <w:pPr>
        <w:pStyle w:val="9"/>
        <w:ind w:left="0" w:leftChars="0" w:firstLine="640" w:firstLineChars="200"/>
        <w:rPr>
          <w:rFonts w:hint="default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6、每台馈出柜均需安装电量计量装置，电量计量装置使用仪用互感器。</w:t>
      </w:r>
    </w:p>
    <w:p>
      <w:pPr>
        <w:pStyle w:val="9"/>
        <w:ind w:left="0" w:leftChars="0" w:firstLine="640" w:firstLineChars="200"/>
        <w:rPr>
          <w:rFonts w:hint="default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7、断路器选用国内名优产品。</w:t>
      </w:r>
    </w:p>
    <w:p>
      <w:pPr>
        <w:pStyle w:val="9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8、开关柜供方应考虑提供便于起吊的吊环。</w:t>
      </w:r>
    </w:p>
    <w:p>
      <w:pPr>
        <w:pStyle w:val="9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9、厂家随开关柜配贯穿母排及所有连接辅件；</w:t>
      </w:r>
    </w:p>
    <w:p>
      <w:pPr>
        <w:pStyle w:val="9"/>
        <w:ind w:left="0" w:leftChars="0" w:firstLine="640" w:firstLineChars="200"/>
        <w:rPr>
          <w:rFonts w:hint="default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10、变压器与低压进线柜之间采用母排连接供电方式，母排选用规格不低于变压器额定电流值。</w:t>
      </w:r>
    </w:p>
    <w:p>
      <w:pPr>
        <w:pStyle w:val="9"/>
        <w:numPr>
          <w:ilvl w:val="0"/>
          <w:numId w:val="1"/>
        </w:numPr>
        <w:ind w:left="-13" w:leftChars="0" w:firstLine="643" w:firstLineChars="0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highlight w:val="none"/>
          <w:lang w:val="en-US" w:eastAsia="zh-CN"/>
        </w:rPr>
        <w:t>其他或环境要求：</w:t>
      </w:r>
    </w:p>
    <w:p>
      <w:pPr>
        <w:pStyle w:val="9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（一）环境要求：</w:t>
      </w:r>
    </w:p>
    <w:p>
      <w:pPr>
        <w:pStyle w:val="9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1、安装地点：地面</w:t>
      </w:r>
    </w:p>
    <w:p>
      <w:pPr>
        <w:pStyle w:val="9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2、海拔高度：1000～2000M</w:t>
      </w:r>
    </w:p>
    <w:p>
      <w:pPr>
        <w:pStyle w:val="9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3、环境温度：最高+40℃</w:t>
      </w:r>
    </w:p>
    <w:p>
      <w:pPr>
        <w:pStyle w:val="9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 xml:space="preserve">             最低-25℃</w:t>
      </w:r>
    </w:p>
    <w:p>
      <w:pPr>
        <w:pStyle w:val="9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4、湿度：≤90%(+25℃)</w:t>
      </w:r>
    </w:p>
    <w:p>
      <w:pPr>
        <w:pStyle w:val="9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5、耐震能力：按6级震区设防</w:t>
      </w:r>
    </w:p>
    <w:p>
      <w:pPr>
        <w:pStyle w:val="9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6、防尘等级：Ⅱ级</w:t>
      </w:r>
    </w:p>
    <w:p>
      <w:pPr>
        <w:pStyle w:val="9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（二）其他</w:t>
      </w:r>
    </w:p>
    <w:p>
      <w:pPr>
        <w:pStyle w:val="9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 xml:space="preserve"> 1、供方应提供下列设备质量证明书：</w:t>
      </w:r>
    </w:p>
    <w:p>
      <w:pPr>
        <w:pStyle w:val="9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产品合格证；矿用合格证；矿用检验合格证；制造检验记录；材料合格证；断路器检验报告;电气试验报告(型式试验和出厂试验报告)</w:t>
      </w:r>
    </w:p>
    <w:p>
      <w:pPr>
        <w:pStyle w:val="9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 xml:space="preserve">  2、试验要求：</w:t>
      </w:r>
    </w:p>
    <w:p>
      <w:pPr>
        <w:pStyle w:val="9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 xml:space="preserve"> （1）结构检查及外观检查：产品其全部零件应符合正式产品图纸和技术要求，零部件装配正确、完整、无生锈、无腐蚀和涂漆层剥落现象，带电体相间及对地距离应符合制造标准规定值。</w:t>
      </w:r>
    </w:p>
    <w:p>
      <w:pPr>
        <w:pStyle w:val="9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 xml:space="preserve"> （2）机械试验及操作特性试验按GBl984有关规定进行，并满足要求。</w:t>
      </w:r>
    </w:p>
    <w:p>
      <w:pPr>
        <w:pStyle w:val="9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 xml:space="preserve"> （3）绝缘试验按GB311有关规定进行。</w:t>
      </w:r>
    </w:p>
    <w:p>
      <w:pPr>
        <w:pStyle w:val="9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 xml:space="preserve"> （4）断路器主回路电阻试验按GB762进行，并符合产品技术条件规定。</w:t>
      </w:r>
    </w:p>
    <w:p>
      <w:pPr>
        <w:pStyle w:val="9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 xml:space="preserve"> （5）其余各项试验均按GB12173、GB3906和GBl984有关规定进行，并应符合要求。</w:t>
      </w:r>
    </w:p>
    <w:p>
      <w:pPr>
        <w:pStyle w:val="9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 xml:space="preserve">  3、技术文件及技术图纸：</w:t>
      </w:r>
    </w:p>
    <w:p>
      <w:pPr>
        <w:pStyle w:val="9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（1）供方应提供10KV开关柜设备使用说明书。</w:t>
      </w:r>
    </w:p>
    <w:p>
      <w:pPr>
        <w:pStyle w:val="9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（2）供方应提供10KV开关柜内配套设备的主要技术参数。</w:t>
      </w:r>
    </w:p>
    <w:p>
      <w:pPr>
        <w:pStyle w:val="9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（3）各开关柜的内部安装接线图。</w:t>
      </w:r>
    </w:p>
    <w:p>
      <w:pPr>
        <w:pStyle w:val="9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（4）开关柜基础平面及剖面图。</w:t>
      </w:r>
    </w:p>
    <w:p>
      <w:pPr>
        <w:pStyle w:val="9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（5）断路器所配操作机构二次接线图。</w:t>
      </w:r>
    </w:p>
    <w:p>
      <w:pPr>
        <w:pStyle w:val="9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 xml:space="preserve"> 4、提供质保期内备品备件及随机专用工具。</w:t>
      </w:r>
    </w:p>
    <w:p>
      <w:pPr>
        <w:pStyle w:val="9"/>
        <w:numPr>
          <w:ilvl w:val="0"/>
          <w:numId w:val="1"/>
        </w:numPr>
        <w:ind w:left="-13" w:leftChars="0" w:firstLine="643" w:firstLineChars="0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highlight w:val="none"/>
          <w:lang w:val="en-US" w:eastAsia="zh-CN"/>
        </w:rPr>
        <w:t>质量保证、付款方式及售后：</w:t>
      </w:r>
    </w:p>
    <w:p>
      <w:pPr>
        <w:pStyle w:val="9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1、产品实行三包，质保期为一年。</w:t>
      </w:r>
    </w:p>
    <w:p>
      <w:pPr>
        <w:pStyle w:val="9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FF0000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2、在质保期内，因质量问题而造成的设备损坏或不能正常使用时，卖方应无偿更换。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uto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  <w:highlight w:val="none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  <w:highlight w:val="none"/>
        </w:rPr>
        <w:t>签</w:t>
      </w: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  <w:highlight w:val="none"/>
        </w:rPr>
        <w:t>字</w:t>
      </w: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  <w:highlight w:val="none"/>
          <w:lang w:val="en-US" w:eastAsia="zh-CN"/>
        </w:rPr>
        <w:t xml:space="preserve"> 审 批 </w:t>
      </w: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  <w:highlight w:val="none"/>
        </w:rPr>
        <w:t>页</w:t>
      </w:r>
    </w:p>
    <w:p>
      <w:pPr>
        <w:pStyle w:val="2"/>
        <w:rPr>
          <w:rFonts w:hint="eastAsia" w:asciiTheme="minorEastAsia" w:hAnsiTheme="minorEastAsia" w:eastAsiaTheme="minorEastAsia" w:cstheme="minorEastAsia"/>
          <w:highlight w:val="none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bCs/>
          <w:sz w:val="32"/>
          <w:szCs w:val="32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  <w:lang w:val="en-US" w:eastAsia="zh-CN"/>
        </w:rPr>
        <w:t>使用方（章）：</w:t>
      </w:r>
      <w:r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</w:rPr>
        <w:t>内蒙古神东天隆集团股份有限公司霍洛湾煤矿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highlight w:val="none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Cs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200" w:hanging="9600" w:hangingChars="30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  <w:highlight w:val="none"/>
          <w:lang w:val="en-US" w:eastAsia="zh-CN"/>
        </w:rPr>
        <w:t>单位分管领导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highlight w:val="none"/>
        </w:rPr>
        <w:t xml:space="preserve">：    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</w:rPr>
        <w:t>经办人：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Cs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  <w:highlight w:val="none"/>
          <w:lang w:val="en-US" w:eastAsia="zh-CN"/>
        </w:rPr>
        <w:t>审批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highlight w:val="none"/>
        </w:rPr>
        <w:t>日期：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highlight w:val="none"/>
          <w:lang w:val="en-US" w:eastAsia="zh-CN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highlight w:val="none"/>
        </w:rPr>
        <w:t>年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highlight w:val="non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highlight w:val="none"/>
        </w:rPr>
        <w:t>月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highlight w:val="non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highlight w:val="none"/>
        </w:rPr>
        <w:t xml:space="preserve">日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  <w:lang w:val="en-US" w:eastAsia="zh-CN"/>
        </w:rPr>
        <w:t>审核方（章）：内蒙古神东天隆集团股份有限公司机电动力部</w:t>
      </w:r>
    </w:p>
    <w:p>
      <w:pPr>
        <w:pStyle w:val="2"/>
        <w:ind w:left="0" w:leftChars="0" w:firstLine="0" w:firstLineChars="0"/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200" w:hanging="9600" w:hangingChars="30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  <w:highlight w:val="none"/>
          <w:lang w:val="en-US" w:eastAsia="zh-CN"/>
        </w:rPr>
        <w:t>单位分管领导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highlight w:val="none"/>
        </w:rPr>
        <w:t xml:space="preserve">：    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</w:rPr>
        <w:t>经办人：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Cs/>
          <w:sz w:val="32"/>
          <w:szCs w:val="32"/>
          <w:highlight w:val="none"/>
        </w:rPr>
      </w:pPr>
    </w:p>
    <w:p>
      <w:pPr>
        <w:pStyle w:val="9"/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  <w:highlight w:val="none"/>
          <w:lang w:val="en-US" w:eastAsia="zh-CN"/>
        </w:rPr>
        <w:t>审批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highlight w:val="none"/>
        </w:rPr>
        <w:t>日期：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highlight w:val="none"/>
          <w:lang w:val="en-US" w:eastAsia="zh-CN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highlight w:val="none"/>
        </w:rPr>
        <w:t>年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highlight w:val="non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highlight w:val="none"/>
        </w:rPr>
        <w:t>月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highlight w:val="non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highlight w:val="none"/>
        </w:rPr>
        <w:t xml:space="preserve">日 </w:t>
      </w:r>
    </w:p>
    <w:p/>
    <w:sectPr>
      <w:footerReference r:id="rId4" w:type="default"/>
      <w:pgSz w:w="11906" w:h="16838"/>
      <w:pgMar w:top="1440" w:right="1080" w:bottom="1440" w:left="108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clear" w:pos="4153"/>
      </w:tabs>
      <w:rPr>
        <w:rFonts w:hint="default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clear" w:pos="4153"/>
      </w:tabs>
      <w:rPr>
        <w:rFonts w:hint="default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4427855</wp:posOffset>
              </wp:positionH>
              <wp:positionV relativeFrom="paragraph">
                <wp:posOffset>-140335</wp:posOffset>
              </wp:positionV>
              <wp:extent cx="1104900" cy="82931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4900" cy="829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使用方小签：</w:t>
                          </w:r>
                        </w:p>
                        <w:p>
                          <w:pPr>
                            <w:rPr>
                              <w:rFonts w:hint="eastAsia"/>
                              <w:lang w:val="en-US" w:eastAsia="zh-CN"/>
                            </w:rPr>
                          </w:pPr>
                        </w:p>
                        <w:p>
                          <w:pPr>
                            <w:rPr>
                              <w:rFonts w:hint="eastAsia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审核方小签：</w:t>
                          </w:r>
                        </w:p>
                      </w:txbxContent>
                    </wps:txbx>
                    <wps:bodyPr lIns="91439" tIns="45719" rIns="91439" bIns="45719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48.65pt;margin-top:-11.05pt;height:65.3pt;width:87pt;z-index:251660288;mso-width-relative:page;mso-height-relative:page;" filled="f" stroked="f" coordsize="21600,21600" o:gfxdata="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DRSlmjZAAAACwEAAA8AAAAAAAAAAQAgAAAAIgAAAGRycy9kb3du&#10;cmV2LnhtbFBLAQIUABQAAAAIAIdO4kAwLpwzxQEAAIIDAAAOAAAAAAAAAAEAIAAAACgBAABkcnMv&#10;ZTJvRG9jLnhtbFBLBQYAAAAABgAGAFkBAABfBQAAAAA=&#10;">
              <v:fill on="f" focussize="0,0"/>
              <v:stroke on="f"/>
              <v:imagedata o:title=""/>
              <o:lock v:ext="edit" aspectratio="f"/>
              <v:textbox inset="7.19992125984252pt,3.59992125984252pt,7.19992125984252pt,3.59992125984252pt">
                <w:txbxContent>
                  <w:p>
                    <w:pPr>
                      <w:rPr>
                        <w:rFonts w:hint="eastAsia"/>
                        <w:lang w:val="en-US"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>使用方小签：</w:t>
                    </w:r>
                  </w:p>
                  <w:p>
                    <w:pPr>
                      <w:rPr>
                        <w:rFonts w:hint="eastAsia"/>
                        <w:lang w:val="en-US" w:eastAsia="zh-CN"/>
                      </w:rPr>
                    </w:pPr>
                  </w:p>
                  <w:p>
                    <w:pPr>
                      <w:rPr>
                        <w:rFonts w:hint="eastAsia"/>
                        <w:lang w:val="en-US"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>审核方小签：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8CE403"/>
    <w:multiLevelType w:val="singleLevel"/>
    <w:tmpl w:val="0B8CE403"/>
    <w:lvl w:ilvl="0" w:tentative="0">
      <w:start w:val="2"/>
      <w:numFmt w:val="chineseCounting"/>
      <w:suff w:val="nothing"/>
      <w:lvlText w:val="%1、"/>
      <w:lvlJc w:val="left"/>
      <w:pPr>
        <w:ind w:left="-13"/>
      </w:pPr>
      <w:rPr>
        <w:rFonts w:hint="eastAsia"/>
        <w:sz w:val="32"/>
        <w:szCs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xMGZjYTg4YWY0Y2U2MzgxYTFkNzE3ZmVkZmFhNmIifQ=="/>
  </w:docVars>
  <w:rsids>
    <w:rsidRoot w:val="29FF6835"/>
    <w:rsid w:val="004325CA"/>
    <w:rsid w:val="00C933D8"/>
    <w:rsid w:val="02131202"/>
    <w:rsid w:val="03C64AFA"/>
    <w:rsid w:val="0B11167B"/>
    <w:rsid w:val="109A5790"/>
    <w:rsid w:val="11421178"/>
    <w:rsid w:val="11B6708B"/>
    <w:rsid w:val="1878506E"/>
    <w:rsid w:val="1B915FA6"/>
    <w:rsid w:val="23851FDE"/>
    <w:rsid w:val="29FF6835"/>
    <w:rsid w:val="2A6F5754"/>
    <w:rsid w:val="2A8C27DA"/>
    <w:rsid w:val="2CDF5D30"/>
    <w:rsid w:val="2E960BB2"/>
    <w:rsid w:val="2F0F34BB"/>
    <w:rsid w:val="32AB02D8"/>
    <w:rsid w:val="38977872"/>
    <w:rsid w:val="394C5C67"/>
    <w:rsid w:val="3F735B79"/>
    <w:rsid w:val="4078469A"/>
    <w:rsid w:val="427A1ABA"/>
    <w:rsid w:val="47B24524"/>
    <w:rsid w:val="4860315E"/>
    <w:rsid w:val="486B1FAE"/>
    <w:rsid w:val="4EA2303B"/>
    <w:rsid w:val="514813E1"/>
    <w:rsid w:val="54D7747C"/>
    <w:rsid w:val="625143FC"/>
    <w:rsid w:val="62C5556D"/>
    <w:rsid w:val="63974C92"/>
    <w:rsid w:val="662E362F"/>
    <w:rsid w:val="699976E0"/>
    <w:rsid w:val="69BB490E"/>
    <w:rsid w:val="6A4916C3"/>
    <w:rsid w:val="6F312BDD"/>
    <w:rsid w:val="791B6537"/>
    <w:rsid w:val="79EC737F"/>
    <w:rsid w:val="7C000F1B"/>
    <w:rsid w:val="7EC1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200" w:leftChars="200"/>
    </w:p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 Indent"/>
    <w:basedOn w:val="1"/>
    <w:next w:val="6"/>
    <w:qFormat/>
    <w:uiPriority w:val="0"/>
    <w:pPr>
      <w:spacing w:after="120"/>
      <w:ind w:left="420" w:leftChars="200"/>
    </w:pPr>
  </w:style>
  <w:style w:type="paragraph" w:styleId="6">
    <w:name w:val="header"/>
    <w:basedOn w:val="1"/>
    <w:next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Date"/>
    <w:basedOn w:val="1"/>
    <w:next w:val="1"/>
    <w:qFormat/>
    <w:uiPriority w:val="0"/>
    <w:rPr>
      <w:sz w:val="24"/>
      <w:szCs w:val="20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Body Text First Indent 2"/>
    <w:basedOn w:val="5"/>
    <w:qFormat/>
    <w:uiPriority w:val="0"/>
    <w:pPr>
      <w:ind w:firstLine="420" w:firstLineChars="200"/>
    </w:pPr>
  </w:style>
  <w:style w:type="paragraph" w:styleId="12">
    <w:name w:val="No Spacing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>
      <sectNamePr val="封面"/>
    </customSectPr>
    <customSectPr>
      <sectNamePr val="正文"/>
    </customSectPr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2737</Words>
  <Characters>2959</Characters>
  <Lines>0</Lines>
  <Paragraphs>0</Paragraphs>
  <TotalTime>8</TotalTime>
  <ScaleCrop>false</ScaleCrop>
  <LinksUpToDate>false</LinksUpToDate>
  <CharactersWithSpaces>3149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2021-08-31T06:20:00Z</dcterms:created>
  <dc:creator>赵耀</dc:creator>
  <cp:lastModifiedBy> </cp:lastModifiedBy>
  <cp:lastPrinted>2021-08-31T08:49:00Z</cp:lastPrinted>
  <dcterms:modified xsi:type="dcterms:W3CDTF">2022-06-06T09:01:56Z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1EE34124F47C48E0BD0E413A344DA567</vt:lpwstr>
  </property>
</Properties>
</file>